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7A13" w:rsidRDefault="00CB7A13" w:rsidP="00754D3D">
      <w:pPr>
        <w:tabs>
          <w:tab w:val="left" w:pos="4962"/>
          <w:tab w:val="left" w:pos="5387"/>
        </w:tabs>
        <w:jc w:val="center"/>
        <w:rPr>
          <w:lang w:val="uk-UA"/>
        </w:rPr>
      </w:pPr>
      <w:r w:rsidRPr="001230BA">
        <w:rPr>
          <w:lang w:val="uk-UA"/>
        </w:rPr>
        <w:object w:dxaOrig="788"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55pt" o:ole="">
            <v:imagedata r:id="rId9" o:title=""/>
          </v:shape>
          <o:OLEObject Type="Embed" ProgID="CorelDRAW.Graphic.13" ShapeID="_x0000_i1025" DrawAspect="Content" ObjectID="_1699699184" r:id="rId10"/>
        </w:object>
      </w:r>
    </w:p>
    <w:p w:rsidR="00E44BA8" w:rsidRPr="00E44BA8" w:rsidRDefault="00E44BA8" w:rsidP="00CB7A13">
      <w:pPr>
        <w:jc w:val="center"/>
        <w:rPr>
          <w:b/>
          <w:sz w:val="12"/>
          <w:szCs w:val="12"/>
          <w:lang w:val="uk-UA"/>
        </w:rPr>
      </w:pPr>
    </w:p>
    <w:p w:rsidR="00CB7A13" w:rsidRPr="004668D9" w:rsidRDefault="00E44BA8" w:rsidP="00E44BA8">
      <w:pPr>
        <w:jc w:val="center"/>
        <w:rPr>
          <w:b/>
          <w:caps/>
          <w:spacing w:val="10"/>
          <w:szCs w:val="28"/>
          <w:lang w:val="uk-UA"/>
        </w:rPr>
      </w:pPr>
      <w:r w:rsidRPr="004668D9">
        <w:rPr>
          <w:b/>
          <w:caps/>
          <w:spacing w:val="10"/>
          <w:szCs w:val="28"/>
          <w:lang w:val="uk-UA"/>
        </w:rPr>
        <w:t>Україна</w:t>
      </w:r>
    </w:p>
    <w:p w:rsidR="00E44BA8" w:rsidRPr="00E44BA8" w:rsidRDefault="00E44BA8" w:rsidP="00E44BA8">
      <w:pPr>
        <w:jc w:val="center"/>
        <w:rPr>
          <w:spacing w:val="10"/>
          <w:sz w:val="12"/>
          <w:szCs w:val="12"/>
          <w:lang w:val="uk-UA"/>
        </w:rPr>
      </w:pPr>
    </w:p>
    <w:p w:rsidR="00CB7A13" w:rsidRPr="001230BA" w:rsidRDefault="00CB7A13" w:rsidP="00E44BA8">
      <w:pPr>
        <w:jc w:val="center"/>
        <w:rPr>
          <w:spacing w:val="10"/>
          <w:lang w:val="uk-UA"/>
        </w:rPr>
      </w:pPr>
      <w:r w:rsidRPr="001230BA">
        <w:rPr>
          <w:spacing w:val="10"/>
          <w:lang w:val="uk-UA"/>
        </w:rPr>
        <w:t>ВИКОНАВЧИЙ ОРГАН КИЇВСЬКОЇ МІСЬКОЇ РАДИ</w:t>
      </w:r>
    </w:p>
    <w:p w:rsidR="00CB7A13" w:rsidRDefault="00CB7A13" w:rsidP="00E44BA8">
      <w:pPr>
        <w:keepNext/>
        <w:widowControl w:val="0"/>
        <w:snapToGrid w:val="0"/>
        <w:jc w:val="center"/>
        <w:outlineLvl w:val="0"/>
        <w:rPr>
          <w:spacing w:val="10"/>
          <w:lang w:val="uk-UA"/>
        </w:rPr>
      </w:pPr>
      <w:r w:rsidRPr="001230BA">
        <w:rPr>
          <w:spacing w:val="10"/>
          <w:lang w:val="uk-UA"/>
        </w:rPr>
        <w:t>(КИЇВСЬКА МІСЬКА ДЕРЖАВНА АДМІНІСТРАЦІЯ)</w:t>
      </w:r>
    </w:p>
    <w:p w:rsidR="00CB7A13" w:rsidRPr="001230BA" w:rsidRDefault="00CB7A13" w:rsidP="0015325C">
      <w:pPr>
        <w:jc w:val="center"/>
        <w:rPr>
          <w:b/>
          <w:spacing w:val="20"/>
          <w:sz w:val="12"/>
          <w:szCs w:val="12"/>
          <w:lang w:val="uk-UA"/>
        </w:rPr>
      </w:pPr>
    </w:p>
    <w:p w:rsidR="001A63A1" w:rsidRPr="00B74BD5" w:rsidRDefault="001A63A1" w:rsidP="00B74BD5">
      <w:pPr>
        <w:pStyle w:val="a6"/>
        <w:rPr>
          <w:rStyle w:val="a7"/>
          <w:b/>
        </w:rPr>
      </w:pPr>
      <w:r w:rsidRPr="00B74BD5">
        <w:rPr>
          <w:rStyle w:val="a7"/>
          <w:b/>
        </w:rPr>
        <w:t xml:space="preserve">ДЕПАРТАМЕНТ ВНУТРІШНЬОГО ФІНАНСОВОГО </w:t>
      </w:r>
    </w:p>
    <w:p w:rsidR="001A63A1" w:rsidRPr="00B74BD5" w:rsidRDefault="001A63A1" w:rsidP="00B74BD5">
      <w:pPr>
        <w:pStyle w:val="a6"/>
        <w:rPr>
          <w:b/>
        </w:rPr>
      </w:pPr>
      <w:r w:rsidRPr="00B74BD5">
        <w:rPr>
          <w:rStyle w:val="a7"/>
          <w:b/>
        </w:rPr>
        <w:t>КОНТРОЛЮ</w:t>
      </w:r>
      <w:r w:rsidRPr="00B74BD5">
        <w:rPr>
          <w:b/>
        </w:rPr>
        <w:t xml:space="preserve"> ТА АУДИТУ</w:t>
      </w:r>
    </w:p>
    <w:p w:rsidR="001A63A1" w:rsidRPr="001A63A1" w:rsidRDefault="001A63A1" w:rsidP="001A63A1">
      <w:pPr>
        <w:jc w:val="center"/>
        <w:rPr>
          <w:spacing w:val="20"/>
          <w:sz w:val="12"/>
          <w:szCs w:val="12"/>
        </w:rPr>
      </w:pPr>
    </w:p>
    <w:p w:rsidR="001A63A1" w:rsidRDefault="001A63A1" w:rsidP="001A63A1">
      <w:pPr>
        <w:jc w:val="center"/>
        <w:rPr>
          <w:i/>
          <w:sz w:val="20"/>
          <w:lang w:val="uk-UA"/>
        </w:rPr>
      </w:pPr>
      <w:proofErr w:type="spellStart"/>
      <w:r>
        <w:rPr>
          <w:i/>
          <w:sz w:val="20"/>
        </w:rPr>
        <w:t>вул</w:t>
      </w:r>
      <w:proofErr w:type="spellEnd"/>
      <w:r>
        <w:rPr>
          <w:i/>
          <w:sz w:val="20"/>
        </w:rPr>
        <w:t xml:space="preserve">. </w:t>
      </w:r>
      <w:proofErr w:type="spellStart"/>
      <w:r w:rsidRPr="00E65212">
        <w:rPr>
          <w:i/>
          <w:sz w:val="20"/>
        </w:rPr>
        <w:t>Хрещатик</w:t>
      </w:r>
      <w:proofErr w:type="spellEnd"/>
      <w:r w:rsidRPr="00E65212">
        <w:rPr>
          <w:i/>
          <w:sz w:val="20"/>
        </w:rPr>
        <w:t xml:space="preserve">, 36, </w:t>
      </w:r>
      <w:r>
        <w:rPr>
          <w:i/>
          <w:sz w:val="20"/>
        </w:rPr>
        <w:t xml:space="preserve">м. </w:t>
      </w:r>
      <w:proofErr w:type="spellStart"/>
      <w:r w:rsidRPr="00E65212">
        <w:rPr>
          <w:i/>
          <w:sz w:val="20"/>
        </w:rPr>
        <w:t>Київ</w:t>
      </w:r>
      <w:proofErr w:type="spellEnd"/>
      <w:r w:rsidRPr="00E65212">
        <w:rPr>
          <w:i/>
          <w:sz w:val="20"/>
        </w:rPr>
        <w:t>, 01044</w:t>
      </w:r>
      <w:r w:rsidR="004668D9">
        <w:rPr>
          <w:i/>
          <w:sz w:val="20"/>
          <w:lang w:val="uk-UA"/>
        </w:rPr>
        <w:t>,</w:t>
      </w:r>
      <w:r w:rsidRPr="00E65212">
        <w:rPr>
          <w:i/>
          <w:sz w:val="20"/>
        </w:rPr>
        <w:t xml:space="preserve">  тел. </w:t>
      </w:r>
      <w:r w:rsidRPr="001A63A1">
        <w:rPr>
          <w:i/>
          <w:sz w:val="20"/>
        </w:rPr>
        <w:t xml:space="preserve">(044) 239 86 67,  </w:t>
      </w:r>
      <w:proofErr w:type="spellStart"/>
      <w:r w:rsidRPr="00C82613">
        <w:rPr>
          <w:i/>
          <w:sz w:val="20"/>
          <w:szCs w:val="20"/>
        </w:rPr>
        <w:t>Контактний</w:t>
      </w:r>
      <w:proofErr w:type="spellEnd"/>
      <w:r w:rsidRPr="001A63A1">
        <w:rPr>
          <w:i/>
          <w:sz w:val="20"/>
          <w:szCs w:val="20"/>
        </w:rPr>
        <w:t xml:space="preserve"> </w:t>
      </w:r>
      <w:r w:rsidRPr="00C82613">
        <w:rPr>
          <w:i/>
          <w:sz w:val="20"/>
          <w:szCs w:val="20"/>
        </w:rPr>
        <w:t>центр</w:t>
      </w:r>
      <w:r w:rsidRPr="001A63A1">
        <w:rPr>
          <w:i/>
          <w:sz w:val="20"/>
          <w:szCs w:val="20"/>
        </w:rPr>
        <w:t xml:space="preserve"> </w:t>
      </w:r>
      <w:proofErr w:type="spellStart"/>
      <w:r w:rsidRPr="00C82613">
        <w:rPr>
          <w:i/>
          <w:sz w:val="20"/>
          <w:szCs w:val="20"/>
        </w:rPr>
        <w:t>міста</w:t>
      </w:r>
      <w:proofErr w:type="spellEnd"/>
      <w:r w:rsidRPr="001A63A1">
        <w:rPr>
          <w:i/>
          <w:sz w:val="20"/>
          <w:szCs w:val="20"/>
        </w:rPr>
        <w:t xml:space="preserve"> </w:t>
      </w:r>
      <w:proofErr w:type="spellStart"/>
      <w:r w:rsidRPr="00C82613">
        <w:rPr>
          <w:i/>
          <w:sz w:val="20"/>
          <w:szCs w:val="20"/>
        </w:rPr>
        <w:t>Києва</w:t>
      </w:r>
      <w:proofErr w:type="spellEnd"/>
      <w:r w:rsidRPr="001A63A1">
        <w:rPr>
          <w:i/>
          <w:sz w:val="20"/>
          <w:szCs w:val="20"/>
        </w:rPr>
        <w:t xml:space="preserve"> </w:t>
      </w:r>
      <w:r w:rsidRPr="001A63A1">
        <w:rPr>
          <w:i/>
          <w:sz w:val="20"/>
        </w:rPr>
        <w:t>15 51,</w:t>
      </w:r>
    </w:p>
    <w:p w:rsidR="001A63A1" w:rsidRDefault="001A63A1" w:rsidP="001A63A1">
      <w:pPr>
        <w:jc w:val="center"/>
        <w:rPr>
          <w:i/>
          <w:sz w:val="20"/>
          <w:szCs w:val="20"/>
          <w:lang w:val="uk-UA"/>
        </w:rPr>
      </w:pPr>
      <w:r w:rsidRPr="001A63A1">
        <w:rPr>
          <w:i/>
          <w:sz w:val="20"/>
          <w:lang w:val="uk-UA"/>
        </w:rPr>
        <w:t>Е-</w:t>
      </w:r>
      <w:r w:rsidRPr="001A63A1">
        <w:rPr>
          <w:i/>
          <w:sz w:val="20"/>
          <w:lang w:val="en-US"/>
        </w:rPr>
        <w:t>mail</w:t>
      </w:r>
      <w:r w:rsidRPr="001A63A1">
        <w:rPr>
          <w:i/>
          <w:sz w:val="20"/>
          <w:lang w:val="uk-UA"/>
        </w:rPr>
        <w:t>:</w:t>
      </w:r>
      <w:r w:rsidR="00152FF5" w:rsidRPr="00191372">
        <w:rPr>
          <w:lang w:val="uk-UA"/>
        </w:rPr>
        <w:t xml:space="preserve"> </w:t>
      </w:r>
      <w:r w:rsidR="00152FF5" w:rsidRPr="00152FF5">
        <w:rPr>
          <w:i/>
          <w:sz w:val="20"/>
          <w:lang w:val="uk-UA"/>
        </w:rPr>
        <w:t>kyivaudit@kyivcity.gov.ua</w:t>
      </w:r>
      <w:r w:rsidRPr="001A63A1">
        <w:rPr>
          <w:i/>
          <w:sz w:val="20"/>
          <w:szCs w:val="20"/>
          <w:lang w:val="uk-UA"/>
        </w:rPr>
        <w:t xml:space="preserve">, </w:t>
      </w:r>
      <w:proofErr w:type="spellStart"/>
      <w:r w:rsidR="00276F82" w:rsidRPr="00276F82">
        <w:rPr>
          <w:i/>
          <w:sz w:val="20"/>
          <w:szCs w:val="20"/>
          <w:lang w:val="uk-UA"/>
        </w:rPr>
        <w:t>Site</w:t>
      </w:r>
      <w:proofErr w:type="spellEnd"/>
      <w:r w:rsidR="00276F82" w:rsidRPr="00276F82">
        <w:rPr>
          <w:i/>
          <w:sz w:val="20"/>
          <w:szCs w:val="20"/>
          <w:lang w:val="uk-UA"/>
        </w:rPr>
        <w:t>:</w:t>
      </w:r>
      <w:proofErr w:type="spellStart"/>
      <w:r w:rsidRPr="001A63A1">
        <w:rPr>
          <w:i/>
          <w:sz w:val="20"/>
          <w:szCs w:val="20"/>
          <w:lang w:val="en-US"/>
        </w:rPr>
        <w:t>kyivaudit</w:t>
      </w:r>
      <w:proofErr w:type="spellEnd"/>
      <w:r w:rsidRPr="001A63A1">
        <w:rPr>
          <w:i/>
          <w:sz w:val="20"/>
          <w:szCs w:val="20"/>
          <w:lang w:val="uk-UA"/>
        </w:rPr>
        <w:t>.</w:t>
      </w:r>
      <w:proofErr w:type="spellStart"/>
      <w:r w:rsidRPr="001A63A1">
        <w:rPr>
          <w:i/>
          <w:sz w:val="20"/>
          <w:szCs w:val="20"/>
          <w:lang w:val="en-US"/>
        </w:rPr>
        <w:t>gov</w:t>
      </w:r>
      <w:proofErr w:type="spellEnd"/>
      <w:r w:rsidRPr="001A63A1">
        <w:rPr>
          <w:i/>
          <w:sz w:val="20"/>
          <w:szCs w:val="20"/>
          <w:lang w:val="uk-UA"/>
        </w:rPr>
        <w:t>.</w:t>
      </w:r>
      <w:proofErr w:type="spellStart"/>
      <w:r w:rsidRPr="001A63A1">
        <w:rPr>
          <w:i/>
          <w:sz w:val="20"/>
          <w:szCs w:val="20"/>
          <w:lang w:val="en-US"/>
        </w:rPr>
        <w:t>ua</w:t>
      </w:r>
      <w:proofErr w:type="spellEnd"/>
      <w:r w:rsidR="00B74BD5">
        <w:rPr>
          <w:i/>
          <w:sz w:val="20"/>
          <w:szCs w:val="20"/>
          <w:lang w:val="uk-UA"/>
        </w:rPr>
        <w:t xml:space="preserve"> </w:t>
      </w:r>
      <w:r w:rsidRPr="001A63A1">
        <w:rPr>
          <w:i/>
          <w:sz w:val="20"/>
          <w:szCs w:val="20"/>
          <w:lang w:val="uk-UA"/>
        </w:rPr>
        <w:t xml:space="preserve"> Код ЄДРПОУ 34765257</w:t>
      </w:r>
    </w:p>
    <w:p w:rsidR="001A63A1" w:rsidRPr="0031365E" w:rsidRDefault="001A63A1" w:rsidP="001A63A1">
      <w:pPr>
        <w:jc w:val="center"/>
        <w:rPr>
          <w:i/>
          <w:sz w:val="12"/>
          <w:szCs w:val="12"/>
          <w:lang w:val="uk-UA"/>
        </w:rPr>
      </w:pPr>
    </w:p>
    <w:p w:rsidR="00CB7A13" w:rsidRPr="001230BA" w:rsidRDefault="009C2AE9" w:rsidP="00CB7A13">
      <w:pPr>
        <w:rPr>
          <w:b/>
          <w:szCs w:val="28"/>
          <w:lang w:val="uk-UA"/>
        </w:rPr>
      </w:pPr>
      <w:r>
        <w:rPr>
          <w:noProof/>
        </w:rPr>
        <mc:AlternateContent>
          <mc:Choice Requires="wps">
            <w:drawing>
              <wp:anchor distT="4294967295" distB="4294967295" distL="114300" distR="114300" simplePos="0" relativeHeight="251661312" behindDoc="0" locked="0" layoutInCell="0" allowOverlap="1" wp14:anchorId="19729264" wp14:editId="5B66C471">
                <wp:simplePos x="0" y="0"/>
                <wp:positionH relativeFrom="column">
                  <wp:posOffset>15240</wp:posOffset>
                </wp:positionH>
                <wp:positionV relativeFrom="paragraph">
                  <wp:posOffset>19685</wp:posOffset>
                </wp:positionV>
                <wp:extent cx="59055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C555C9"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55pt" to="46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" o:allowincell="f" strokeweight="4.5pt">
                <v:stroke linestyle="thickThin"/>
              </v:line>
            </w:pict>
          </mc:Fallback>
        </mc:AlternateContent>
      </w:r>
    </w:p>
    <w:p w:rsidR="00A05B49" w:rsidRPr="00A53876" w:rsidRDefault="00A05B49" w:rsidP="005C0639">
      <w:pPr>
        <w:widowControl w:val="0"/>
        <w:tabs>
          <w:tab w:val="left" w:pos="8931"/>
        </w:tabs>
        <w:spacing w:line="360" w:lineRule="auto"/>
        <w:ind w:left="5103" w:right="340"/>
        <w:rPr>
          <w:lang w:val="uk-UA"/>
        </w:rPr>
      </w:pPr>
      <w:r w:rsidRPr="00A53876">
        <w:rPr>
          <w:lang w:val="uk-UA"/>
        </w:rPr>
        <w:t xml:space="preserve">Київському міському голові </w:t>
      </w:r>
    </w:p>
    <w:p w:rsidR="00191372" w:rsidRPr="00A53876" w:rsidRDefault="00A05B49" w:rsidP="005C0639">
      <w:pPr>
        <w:widowControl w:val="0"/>
        <w:tabs>
          <w:tab w:val="left" w:pos="8931"/>
        </w:tabs>
        <w:spacing w:line="360" w:lineRule="auto"/>
        <w:ind w:left="5103" w:right="340"/>
        <w:rPr>
          <w:lang w:val="uk-UA"/>
        </w:rPr>
      </w:pPr>
      <w:r w:rsidRPr="00A53876">
        <w:rPr>
          <w:lang w:val="uk-UA"/>
        </w:rPr>
        <w:t xml:space="preserve">КЛИЧКУ В.В. </w:t>
      </w:r>
    </w:p>
    <w:p w:rsidR="00191372" w:rsidRPr="00A53876" w:rsidRDefault="00191372" w:rsidP="005C0639">
      <w:pPr>
        <w:widowControl w:val="0"/>
        <w:tabs>
          <w:tab w:val="left" w:pos="3544"/>
        </w:tabs>
        <w:ind w:right="340"/>
        <w:rPr>
          <w:lang w:val="uk-UA"/>
        </w:rPr>
      </w:pPr>
    </w:p>
    <w:p w:rsidR="00A05B49" w:rsidRPr="00A53876" w:rsidRDefault="00A05B49" w:rsidP="00191372">
      <w:pPr>
        <w:widowControl w:val="0"/>
        <w:ind w:right="340"/>
        <w:rPr>
          <w:lang w:val="uk-UA"/>
        </w:rPr>
      </w:pPr>
      <w:r w:rsidRPr="00A53876">
        <w:rPr>
          <w:lang w:val="uk-UA"/>
        </w:rPr>
        <w:t xml:space="preserve">Про результати аудиту діяльності </w:t>
      </w:r>
    </w:p>
    <w:p w:rsidR="00191372" w:rsidRPr="00A53876" w:rsidRDefault="00944E49" w:rsidP="00191372">
      <w:pPr>
        <w:widowControl w:val="0"/>
        <w:ind w:right="340"/>
        <w:rPr>
          <w:lang w:val="uk-UA"/>
        </w:rPr>
      </w:pPr>
      <w:r>
        <w:rPr>
          <w:lang w:val="uk-UA"/>
        </w:rPr>
        <w:t>КП «Міський магазин»</w:t>
      </w:r>
    </w:p>
    <w:p w:rsidR="00A05B49" w:rsidRPr="00A53876" w:rsidRDefault="00A05B49" w:rsidP="00191372">
      <w:pPr>
        <w:widowControl w:val="0"/>
        <w:ind w:right="340"/>
        <w:rPr>
          <w:lang w:val="uk-UA"/>
        </w:rPr>
      </w:pPr>
    </w:p>
    <w:p w:rsidR="00191372" w:rsidRPr="00A53876" w:rsidRDefault="00A05B49" w:rsidP="00191372">
      <w:pPr>
        <w:widowControl w:val="0"/>
        <w:ind w:right="340"/>
        <w:jc w:val="center"/>
        <w:rPr>
          <w:lang w:val="uk-UA"/>
        </w:rPr>
      </w:pPr>
      <w:r w:rsidRPr="00A53876">
        <w:rPr>
          <w:lang w:val="uk-UA"/>
        </w:rPr>
        <w:t>Шановний Віталію Володимировичу!</w:t>
      </w:r>
    </w:p>
    <w:p w:rsidR="00191372" w:rsidRPr="00A53876" w:rsidRDefault="00191372" w:rsidP="00191372">
      <w:pPr>
        <w:ind w:firstLine="567"/>
        <w:jc w:val="both"/>
        <w:rPr>
          <w:lang w:val="uk-UA"/>
        </w:rPr>
      </w:pPr>
    </w:p>
    <w:p w:rsidR="00191372" w:rsidRPr="00A53876" w:rsidRDefault="00A05B49" w:rsidP="00A05B49">
      <w:pPr>
        <w:ind w:firstLine="567"/>
        <w:jc w:val="both"/>
        <w:rPr>
          <w:lang w:val="uk-UA"/>
        </w:rPr>
      </w:pPr>
      <w:r w:rsidRPr="00A53876">
        <w:rPr>
          <w:lang w:val="uk-UA"/>
        </w:rPr>
        <w:t>Департаментом внутрішнього фінансового контролю та аудиту (далі – Департамент) проведен</w:t>
      </w:r>
      <w:r w:rsidR="00944E49">
        <w:rPr>
          <w:lang w:val="uk-UA"/>
        </w:rPr>
        <w:t>о плановий аудит діяльності комунального підприємства «Міський магазин</w:t>
      </w:r>
      <w:r w:rsidRPr="00A53876">
        <w:rPr>
          <w:lang w:val="uk-UA"/>
        </w:rPr>
        <w:t xml:space="preserve">» </w:t>
      </w:r>
      <w:r w:rsidR="00944E49">
        <w:rPr>
          <w:lang w:val="uk-UA"/>
        </w:rPr>
        <w:t>(далі – КП «Міський магазин»</w:t>
      </w:r>
      <w:r w:rsidR="00696801">
        <w:rPr>
          <w:lang w:val="uk-UA"/>
        </w:rPr>
        <w:t xml:space="preserve"> або Підприємство</w:t>
      </w:r>
      <w:r w:rsidR="003231F3">
        <w:rPr>
          <w:lang w:val="uk-UA"/>
        </w:rPr>
        <w:t xml:space="preserve">) </w:t>
      </w:r>
      <w:r w:rsidR="00944E49" w:rsidRPr="00944E49">
        <w:rPr>
          <w:lang w:val="uk-UA"/>
        </w:rPr>
        <w:t>щодо ефективності функціонування системи внутрішнього контролю, ступеня виконання і досягнення цілей, управління об’єктами комунальної власності територіальної громади міста Києва, використан</w:t>
      </w:r>
      <w:r w:rsidR="00EA3151">
        <w:rPr>
          <w:lang w:val="uk-UA"/>
        </w:rPr>
        <w:t>ня коштів та інших активів тощо</w:t>
      </w:r>
      <w:r w:rsidR="00F25ECC">
        <w:rPr>
          <w:lang w:val="uk-UA"/>
        </w:rPr>
        <w:t>,</w:t>
      </w:r>
      <w:r w:rsidR="00944E49">
        <w:rPr>
          <w:lang w:val="uk-UA"/>
        </w:rPr>
        <w:t xml:space="preserve"> за період 2020 – ІІ</w:t>
      </w:r>
      <w:r w:rsidRPr="00A53876">
        <w:rPr>
          <w:lang w:val="uk-UA"/>
        </w:rPr>
        <w:t xml:space="preserve"> кварталу 2021 року, за результатами якого складено аудиторський звіт </w:t>
      </w:r>
      <w:r w:rsidR="00944E49" w:rsidRPr="00466898">
        <w:rPr>
          <w:lang w:val="uk-UA"/>
        </w:rPr>
        <w:t>від </w:t>
      </w:r>
      <w:r w:rsidR="00944E49" w:rsidRPr="00944E49">
        <w:rPr>
          <w:lang w:val="uk-UA"/>
        </w:rPr>
        <w:t>12</w:t>
      </w:r>
      <w:r w:rsidR="00944E49">
        <w:rPr>
          <w:lang w:val="uk-UA"/>
        </w:rPr>
        <w:t>.</w:t>
      </w:r>
      <w:r w:rsidR="00944E49" w:rsidRPr="00944E49">
        <w:rPr>
          <w:lang w:val="uk-UA"/>
        </w:rPr>
        <w:t>10</w:t>
      </w:r>
      <w:r w:rsidR="00944E49">
        <w:rPr>
          <w:lang w:val="uk-UA"/>
        </w:rPr>
        <w:t>.202</w:t>
      </w:r>
      <w:r w:rsidR="00944E49" w:rsidRPr="00944E49">
        <w:rPr>
          <w:lang w:val="uk-UA"/>
        </w:rPr>
        <w:t>1</w:t>
      </w:r>
      <w:r w:rsidR="00944E49">
        <w:rPr>
          <w:lang w:val="uk-UA"/>
        </w:rPr>
        <w:t xml:space="preserve"> </w:t>
      </w:r>
      <w:r w:rsidR="00944E49" w:rsidRPr="00466898">
        <w:rPr>
          <w:lang w:val="uk-UA"/>
        </w:rPr>
        <w:t>№ </w:t>
      </w:r>
      <w:r w:rsidR="00944E49">
        <w:rPr>
          <w:lang w:val="uk-UA"/>
        </w:rPr>
        <w:t>070-5-13/</w:t>
      </w:r>
      <w:r w:rsidR="00944E49" w:rsidRPr="00944E49">
        <w:rPr>
          <w:lang w:val="uk-UA"/>
        </w:rPr>
        <w:t>33</w:t>
      </w:r>
      <w:r w:rsidRPr="00A53876">
        <w:rPr>
          <w:lang w:val="uk-UA"/>
        </w:rPr>
        <w:t>.</w:t>
      </w:r>
    </w:p>
    <w:p w:rsidR="00944E49" w:rsidRPr="00944E49" w:rsidRDefault="00944E49" w:rsidP="00944E49">
      <w:pPr>
        <w:tabs>
          <w:tab w:val="left" w:pos="3735"/>
        </w:tabs>
        <w:ind w:firstLine="567"/>
        <w:jc w:val="both"/>
        <w:rPr>
          <w:rFonts w:eastAsia="Calibri"/>
          <w:noProof/>
          <w:lang w:val="uk-UA" w:eastAsia="en-US"/>
        </w:rPr>
      </w:pPr>
      <w:r>
        <w:rPr>
          <w:rFonts w:eastAsia="Calibri"/>
          <w:noProof/>
          <w:lang w:val="uk-UA" w:eastAsia="en-US"/>
        </w:rPr>
        <w:t xml:space="preserve">В ході аудиту встановлено, що </w:t>
      </w:r>
      <w:r w:rsidRPr="00944E49">
        <w:rPr>
          <w:rFonts w:eastAsia="Calibri"/>
          <w:noProof/>
          <w:lang w:val="uk-UA" w:eastAsia="en-US"/>
        </w:rPr>
        <w:t xml:space="preserve">КП «Міський магазин» є замовником робіт з облаштування та утримання місць для розміщення засобів пересувної та об'єктів сезонної дрібнороздрібної торговельної мережі на території міста Києва, одним із організаторів регулярних, сезонних, сільськогосподарських і тематичних ярмарків та організатором діяльності книжкового магазину «Сяйво книги». </w:t>
      </w:r>
    </w:p>
    <w:p w:rsidR="00944E49" w:rsidRPr="00944E49" w:rsidRDefault="00944E49" w:rsidP="00944E49">
      <w:pPr>
        <w:tabs>
          <w:tab w:val="left" w:pos="3735"/>
        </w:tabs>
        <w:ind w:firstLine="567"/>
        <w:jc w:val="both"/>
        <w:rPr>
          <w:rFonts w:eastAsia="Calibri"/>
          <w:noProof/>
          <w:lang w:val="uk-UA" w:eastAsia="en-US"/>
        </w:rPr>
      </w:pPr>
      <w:r w:rsidRPr="00944E49">
        <w:rPr>
          <w:rFonts w:eastAsia="Calibri"/>
          <w:noProof/>
          <w:lang w:val="uk-UA" w:eastAsia="en-US"/>
        </w:rPr>
        <w:t>Також з 2019 року КП «Міський магазин» готує та надає пропозиції щодо адресного переліку місць розміщення</w:t>
      </w:r>
      <w:r w:rsidRPr="004F372A">
        <w:rPr>
          <w:rFonts w:eastAsia="Calibri"/>
          <w:noProof/>
          <w:lang w:eastAsia="en-US"/>
        </w:rPr>
        <w:t> </w:t>
      </w:r>
      <w:r w:rsidRPr="00944E49">
        <w:rPr>
          <w:rFonts w:eastAsia="Calibri"/>
          <w:noProof/>
          <w:lang w:val="uk-UA" w:eastAsia="en-US"/>
        </w:rPr>
        <w:t>атракціонів та фактично реалізовує права на їх облаштування.</w:t>
      </w:r>
    </w:p>
    <w:p w:rsidR="00944E49" w:rsidRPr="00A32EA7" w:rsidRDefault="00944E49" w:rsidP="00944E49">
      <w:pPr>
        <w:ind w:firstLine="567"/>
        <w:jc w:val="both"/>
        <w:rPr>
          <w:lang w:val="uk-UA"/>
        </w:rPr>
      </w:pPr>
      <w:r w:rsidRPr="00A32EA7">
        <w:rPr>
          <w:color w:val="000000"/>
          <w:lang w:val="uk-UA"/>
        </w:rPr>
        <w:t xml:space="preserve">Вищезазначена діяльність формує відносно значні доходи (майже 40 млн грн за півтори року) та одночасно супроводжується ризиковими чинниками, які призвели до порушень та недоліків </w:t>
      </w:r>
      <w:r w:rsidR="00F25ECC">
        <w:rPr>
          <w:color w:val="000000"/>
          <w:lang w:val="uk-UA"/>
        </w:rPr>
        <w:t xml:space="preserve">встановлених за результатами аудиту </w:t>
      </w:r>
      <w:r w:rsidRPr="00A32EA7">
        <w:rPr>
          <w:b/>
          <w:color w:val="000000"/>
          <w:lang w:val="uk-UA"/>
        </w:rPr>
        <w:t>на загальну суму 6</w:t>
      </w:r>
      <w:r w:rsidR="00696801">
        <w:rPr>
          <w:b/>
          <w:color w:val="000000"/>
          <w:lang w:val="uk-UA"/>
        </w:rPr>
        <w:t>,3</w:t>
      </w:r>
      <w:r>
        <w:rPr>
          <w:b/>
          <w:color w:val="000000"/>
        </w:rPr>
        <w:t> </w:t>
      </w:r>
      <w:r w:rsidR="00696801">
        <w:rPr>
          <w:b/>
          <w:color w:val="000000"/>
          <w:lang w:val="uk-UA"/>
        </w:rPr>
        <w:t>млн</w:t>
      </w:r>
      <w:r w:rsidRPr="00A32EA7">
        <w:rPr>
          <w:b/>
          <w:color w:val="000000"/>
          <w:lang w:val="uk-UA"/>
        </w:rPr>
        <w:t xml:space="preserve"> грн</w:t>
      </w:r>
      <w:r w:rsidRPr="00EC1720">
        <w:rPr>
          <w:b/>
          <w:color w:val="000000"/>
        </w:rPr>
        <w:t> </w:t>
      </w:r>
      <w:r w:rsidR="00696801">
        <w:rPr>
          <w:b/>
          <w:color w:val="000000"/>
          <w:lang w:val="uk-UA"/>
        </w:rPr>
        <w:t>(</w:t>
      </w:r>
      <w:r w:rsidRPr="00696801">
        <w:rPr>
          <w:color w:val="000000"/>
          <w:lang w:val="uk-UA"/>
        </w:rPr>
        <w:t xml:space="preserve">з яких </w:t>
      </w:r>
      <w:r w:rsidRPr="00696801">
        <w:rPr>
          <w:b/>
          <w:color w:val="000000"/>
          <w:lang w:val="uk-UA"/>
        </w:rPr>
        <w:t>втрати 1</w:t>
      </w:r>
      <w:r w:rsidR="00696801" w:rsidRPr="00696801">
        <w:rPr>
          <w:b/>
          <w:color w:val="000000"/>
          <w:lang w:val="uk-UA"/>
        </w:rPr>
        <w:t>,7 млн</w:t>
      </w:r>
      <w:r w:rsidRPr="00696801">
        <w:rPr>
          <w:b/>
          <w:color w:val="000000"/>
          <w:lang w:val="uk-UA"/>
        </w:rPr>
        <w:t xml:space="preserve"> грн</w:t>
      </w:r>
      <w:r w:rsidRPr="00696801">
        <w:rPr>
          <w:color w:val="000000"/>
          <w:lang w:val="uk-UA"/>
        </w:rPr>
        <w:t xml:space="preserve"> та </w:t>
      </w:r>
      <w:r w:rsidRPr="00696801">
        <w:rPr>
          <w:b/>
          <w:color w:val="000000"/>
          <w:lang w:val="uk-UA"/>
        </w:rPr>
        <w:t>ризики втрат 4</w:t>
      </w:r>
      <w:r w:rsidR="00696801" w:rsidRPr="00696801">
        <w:rPr>
          <w:b/>
          <w:color w:val="000000"/>
          <w:lang w:val="uk-UA"/>
        </w:rPr>
        <w:t>,6 млн гривень)</w:t>
      </w:r>
      <w:r w:rsidR="00A32EA7" w:rsidRPr="00696801">
        <w:rPr>
          <w:b/>
          <w:color w:val="000000"/>
          <w:lang w:val="uk-UA"/>
        </w:rPr>
        <w:t>.</w:t>
      </w:r>
    </w:p>
    <w:p w:rsidR="00A32EA7" w:rsidRDefault="00A32EA7" w:rsidP="00A32EA7">
      <w:pPr>
        <w:ind w:firstLine="567"/>
        <w:jc w:val="both"/>
        <w:rPr>
          <w:lang w:val="uk-UA"/>
        </w:rPr>
      </w:pPr>
      <w:r w:rsidRPr="00A32EA7">
        <w:rPr>
          <w:lang w:val="uk-UA"/>
        </w:rPr>
        <w:t>За результатами дослідження ризикових сфер, пов’язаних із функціонуванням внутрішнього контролю</w:t>
      </w:r>
      <w:r>
        <w:rPr>
          <w:lang w:val="uk-UA"/>
        </w:rPr>
        <w:t>,</w:t>
      </w:r>
      <w:r w:rsidRPr="00A32EA7">
        <w:rPr>
          <w:lang w:val="uk-UA"/>
        </w:rPr>
        <w:t xml:space="preserve"> здійснення діяльності з організації та контролю за розміщенням та функціонуванням засобів пересувної та об'єктів сезонної </w:t>
      </w:r>
      <w:proofErr w:type="spellStart"/>
      <w:r w:rsidRPr="00A32EA7">
        <w:rPr>
          <w:lang w:val="uk-UA"/>
        </w:rPr>
        <w:t>дрібнороз</w:t>
      </w:r>
      <w:r>
        <w:rPr>
          <w:lang w:val="uk-UA"/>
        </w:rPr>
        <w:t>дрібної</w:t>
      </w:r>
      <w:proofErr w:type="spellEnd"/>
      <w:r>
        <w:rPr>
          <w:lang w:val="uk-UA"/>
        </w:rPr>
        <w:t xml:space="preserve"> торгівлі, атракціонів, </w:t>
      </w:r>
      <w:r w:rsidRPr="00A32EA7">
        <w:rPr>
          <w:lang w:val="uk-UA"/>
        </w:rPr>
        <w:t>здійснення претензійно-позовної роботи та інших заходів, спрямованих на належне в</w:t>
      </w:r>
      <w:r>
        <w:rPr>
          <w:lang w:val="uk-UA"/>
        </w:rPr>
        <w:t xml:space="preserve">иконання договірних зобов’язань, </w:t>
      </w:r>
      <w:r w:rsidRPr="00A32EA7">
        <w:rPr>
          <w:lang w:val="uk-UA"/>
        </w:rPr>
        <w:t xml:space="preserve">обґрунтованості та ефективності витрат Підприємства </w:t>
      </w:r>
      <w:r>
        <w:rPr>
          <w:lang w:val="uk-UA"/>
        </w:rPr>
        <w:t xml:space="preserve">тощо, </w:t>
      </w:r>
      <w:r w:rsidR="00CB431D">
        <w:rPr>
          <w:lang w:val="uk-UA"/>
        </w:rPr>
        <w:t>виявлено</w:t>
      </w:r>
      <w:r w:rsidR="00CB431D" w:rsidRPr="00CB431D">
        <w:rPr>
          <w:lang w:val="uk-UA"/>
        </w:rPr>
        <w:t xml:space="preserve"> </w:t>
      </w:r>
      <w:r w:rsidR="00CB431D">
        <w:rPr>
          <w:lang w:val="uk-UA"/>
        </w:rPr>
        <w:t>наступне.</w:t>
      </w:r>
    </w:p>
    <w:p w:rsidR="00F25ECC" w:rsidRDefault="00F25ECC" w:rsidP="00A32EA7">
      <w:pPr>
        <w:ind w:firstLine="567"/>
        <w:jc w:val="both"/>
        <w:rPr>
          <w:rFonts w:eastAsia="Arial CYR"/>
          <w:b/>
          <w:i/>
          <w:lang w:val="uk-UA"/>
        </w:rPr>
      </w:pPr>
    </w:p>
    <w:p w:rsidR="00A32EA7" w:rsidRPr="00A32EA7" w:rsidRDefault="00CB431D" w:rsidP="00A32EA7">
      <w:pPr>
        <w:ind w:firstLine="567"/>
        <w:jc w:val="both"/>
        <w:rPr>
          <w:rFonts w:eastAsia="Calibri"/>
          <w:b/>
          <w:lang w:val="uk-UA" w:eastAsia="en-US"/>
        </w:rPr>
      </w:pPr>
      <w:r>
        <w:rPr>
          <w:rFonts w:eastAsia="Arial CYR"/>
          <w:b/>
          <w:i/>
          <w:lang w:val="uk-UA"/>
        </w:rPr>
        <w:t>П</w:t>
      </w:r>
      <w:r w:rsidR="00A32EA7" w:rsidRPr="00A32EA7">
        <w:rPr>
          <w:rFonts w:eastAsia="Arial CYR"/>
          <w:b/>
          <w:i/>
          <w:lang w:val="uk-UA"/>
        </w:rPr>
        <w:t>о-перше</w:t>
      </w:r>
      <w:r w:rsidR="00A32EA7">
        <w:rPr>
          <w:rFonts w:eastAsia="Arial CYR"/>
          <w:lang w:val="uk-UA"/>
        </w:rPr>
        <w:t>,</w:t>
      </w:r>
      <w:r w:rsidR="00A32EA7" w:rsidRPr="00A32EA7">
        <w:rPr>
          <w:rFonts w:eastAsia="Arial CYR"/>
          <w:lang w:val="uk-UA"/>
        </w:rPr>
        <w:t xml:space="preserve"> </w:t>
      </w:r>
      <w:r w:rsidR="00696801">
        <w:rPr>
          <w:rFonts w:eastAsia="Arial CYR"/>
          <w:lang w:val="uk-UA"/>
        </w:rPr>
        <w:t>у</w:t>
      </w:r>
      <w:r w:rsidR="00A32EA7" w:rsidRPr="00A32EA7">
        <w:rPr>
          <w:rFonts w:eastAsia="Arial CYR"/>
          <w:lang w:val="uk-UA"/>
        </w:rPr>
        <w:t xml:space="preserve"> 2020 році КП «Міський магазин» не забезпечено проведення торгів (аукціонів) на право розміщувати визначені сх</w:t>
      </w:r>
      <w:r w:rsidR="00A32EA7">
        <w:rPr>
          <w:rFonts w:eastAsia="Arial CYR"/>
          <w:lang w:val="uk-UA"/>
        </w:rPr>
        <w:t xml:space="preserve">емами об’єкти сезонної торгівлі у </w:t>
      </w:r>
      <w:r w:rsidR="00A32EA7" w:rsidRPr="00A32EA7">
        <w:rPr>
          <w:rFonts w:eastAsia="Arial CYR"/>
          <w:lang w:val="uk-UA"/>
        </w:rPr>
        <w:t>м. Києві за 251 адресою (локацією), чим втратило можливість отримати</w:t>
      </w:r>
      <w:r w:rsidR="00696801">
        <w:rPr>
          <w:rFonts w:eastAsia="Arial CYR"/>
          <w:lang w:val="uk-UA"/>
        </w:rPr>
        <w:t xml:space="preserve"> доходи</w:t>
      </w:r>
      <w:r w:rsidR="00A32EA7" w:rsidRPr="00A32EA7">
        <w:rPr>
          <w:rFonts w:eastAsia="Arial CYR"/>
          <w:lang w:val="uk-UA"/>
        </w:rPr>
        <w:t xml:space="preserve"> </w:t>
      </w:r>
      <w:r w:rsidR="00A32EA7">
        <w:rPr>
          <w:rFonts w:eastAsia="Arial CYR"/>
          <w:b/>
          <w:i/>
          <w:lang w:val="uk-UA"/>
        </w:rPr>
        <w:t>щонайменше</w:t>
      </w:r>
      <w:r w:rsidR="00696801">
        <w:rPr>
          <w:rFonts w:eastAsia="Arial CYR"/>
          <w:b/>
          <w:i/>
          <w:lang w:val="uk-UA"/>
        </w:rPr>
        <w:t xml:space="preserve"> у сумі </w:t>
      </w:r>
      <w:r w:rsidR="00696801">
        <w:rPr>
          <w:rFonts w:eastAsia="Arial CYR"/>
          <w:b/>
          <w:i/>
          <w:lang w:val="uk-UA"/>
        </w:rPr>
        <w:br/>
      </w:r>
      <w:r w:rsidR="00A32EA7">
        <w:rPr>
          <w:rFonts w:eastAsia="Arial CYR"/>
          <w:b/>
          <w:i/>
          <w:lang w:val="uk-UA"/>
        </w:rPr>
        <w:t xml:space="preserve"> </w:t>
      </w:r>
      <w:r w:rsidR="00A32EA7" w:rsidRPr="00A32EA7">
        <w:rPr>
          <w:rFonts w:eastAsia="Arial CYR"/>
          <w:b/>
          <w:i/>
          <w:lang w:val="uk-UA"/>
        </w:rPr>
        <w:t>2,0 млн гривень</w:t>
      </w:r>
      <w:r>
        <w:rPr>
          <w:rFonts w:eastAsia="Arial CYR"/>
          <w:lang w:val="uk-UA"/>
        </w:rPr>
        <w:t>.</w:t>
      </w:r>
    </w:p>
    <w:p w:rsidR="00F25ECC" w:rsidRDefault="00F25ECC" w:rsidP="00A32EA7">
      <w:pPr>
        <w:widowControl w:val="0"/>
        <w:tabs>
          <w:tab w:val="left" w:pos="920"/>
          <w:tab w:val="left" w:pos="998"/>
        </w:tabs>
        <w:autoSpaceDE w:val="0"/>
        <w:autoSpaceDN w:val="0"/>
        <w:adjustRightInd w:val="0"/>
        <w:ind w:left="5" w:firstLine="568"/>
        <w:contextualSpacing/>
        <w:jc w:val="both"/>
        <w:rPr>
          <w:rFonts w:eastAsia="Arial CYR"/>
          <w:b/>
          <w:i/>
          <w:lang w:val="uk-UA"/>
        </w:rPr>
      </w:pPr>
    </w:p>
    <w:p w:rsidR="00A32EA7" w:rsidRPr="00A32EA7" w:rsidRDefault="00CB431D" w:rsidP="00A32EA7">
      <w:pPr>
        <w:widowControl w:val="0"/>
        <w:tabs>
          <w:tab w:val="left" w:pos="920"/>
          <w:tab w:val="left" w:pos="998"/>
        </w:tabs>
        <w:autoSpaceDE w:val="0"/>
        <w:autoSpaceDN w:val="0"/>
        <w:adjustRightInd w:val="0"/>
        <w:ind w:left="5" w:firstLine="568"/>
        <w:contextualSpacing/>
        <w:jc w:val="both"/>
        <w:rPr>
          <w:rFonts w:eastAsia="Arial CYR"/>
          <w:b/>
          <w:i/>
          <w:lang w:val="uk-UA"/>
        </w:rPr>
      </w:pPr>
      <w:r>
        <w:rPr>
          <w:rFonts w:eastAsia="Arial CYR"/>
          <w:b/>
          <w:i/>
          <w:lang w:val="uk-UA"/>
        </w:rPr>
        <w:t>П</w:t>
      </w:r>
      <w:r w:rsidR="00696801" w:rsidRPr="00696801">
        <w:rPr>
          <w:rFonts w:eastAsia="Arial CYR"/>
          <w:b/>
          <w:i/>
          <w:lang w:val="uk-UA"/>
        </w:rPr>
        <w:t>о-друге</w:t>
      </w:r>
      <w:r w:rsidR="00696801">
        <w:rPr>
          <w:rFonts w:eastAsia="Arial CYR"/>
          <w:lang w:val="uk-UA"/>
        </w:rPr>
        <w:t>, о</w:t>
      </w:r>
      <w:r w:rsidR="00A32EA7" w:rsidRPr="00A32EA7">
        <w:rPr>
          <w:rFonts w:eastAsia="Arial CYR"/>
          <w:lang w:val="uk-UA"/>
        </w:rPr>
        <w:t xml:space="preserve">рганізованим в ході аудиту вибірковим обстеженням виявлено </w:t>
      </w:r>
      <w:r w:rsidR="00A32EA7" w:rsidRPr="00A32EA7">
        <w:rPr>
          <w:rFonts w:eastAsia="Calibri"/>
          <w:lang w:val="uk-UA" w:eastAsia="en-US"/>
        </w:rPr>
        <w:t>в паркових зонах м. Києва</w:t>
      </w:r>
      <w:r w:rsidR="00A32EA7" w:rsidRPr="00A32EA7">
        <w:rPr>
          <w:rFonts w:eastAsia="Arial CYR"/>
          <w:lang w:val="uk-UA"/>
        </w:rPr>
        <w:t xml:space="preserve"> факти несанкціонованого (без дозвільних документів чи відповідних договорів) розміщення 17 </w:t>
      </w:r>
      <w:r w:rsidR="00A32EA7" w:rsidRPr="00A32EA7">
        <w:rPr>
          <w:rFonts w:eastAsia="Calibri"/>
          <w:lang w:val="uk-UA" w:eastAsia="en-US"/>
        </w:rPr>
        <w:t xml:space="preserve">засобів та об’єктів пересувної та сезонної дрібнороздрібної </w:t>
      </w:r>
      <w:r w:rsidR="00A32EA7" w:rsidRPr="00A32EA7">
        <w:rPr>
          <w:rFonts w:eastAsia="Calibri"/>
          <w:lang w:val="uk-UA" w:eastAsia="en-US"/>
        </w:rPr>
        <w:lastRenderedPageBreak/>
        <w:t>торгівельної мережі</w:t>
      </w:r>
      <w:r w:rsidR="00A32EA7" w:rsidRPr="00A32EA7">
        <w:rPr>
          <w:rFonts w:eastAsia="Arial CYR"/>
          <w:lang w:val="uk-UA"/>
        </w:rPr>
        <w:t xml:space="preserve"> (лавки-автопричепи, торгові намети), належні та передбачені організаційно-правові заходи та заходи контролю щодо можливої легалізації або припинення функціонування яких Підприємством та іншими структурними підрозділами виконавчого органу Київської міської ради (КМДА) вживались не в повній мірі, що створює нерівні умови для учасників ринку, діяльність яких здійснюється на договірних засадах та не забезпечує можливість додаткового отримання Підприємством доходу у розрахунковій </w:t>
      </w:r>
      <w:r w:rsidR="00A32EA7" w:rsidRPr="00A32EA7">
        <w:rPr>
          <w:rFonts w:eastAsia="Arial CYR"/>
          <w:i/>
          <w:lang w:val="uk-UA"/>
        </w:rPr>
        <w:t xml:space="preserve">сумі </w:t>
      </w:r>
      <w:r>
        <w:rPr>
          <w:rFonts w:eastAsia="Arial CYR"/>
          <w:b/>
          <w:i/>
          <w:lang w:val="uk-UA"/>
        </w:rPr>
        <w:t>476 тис. гривень.</w:t>
      </w:r>
    </w:p>
    <w:p w:rsidR="00CB431D" w:rsidRDefault="00A32EA7" w:rsidP="00A32EA7">
      <w:pPr>
        <w:widowControl w:val="0"/>
        <w:tabs>
          <w:tab w:val="left" w:pos="920"/>
          <w:tab w:val="left" w:pos="998"/>
        </w:tabs>
        <w:autoSpaceDE w:val="0"/>
        <w:autoSpaceDN w:val="0"/>
        <w:adjustRightInd w:val="0"/>
        <w:ind w:left="5" w:firstLine="568"/>
        <w:contextualSpacing/>
        <w:jc w:val="both"/>
        <w:rPr>
          <w:rFonts w:eastAsia="Arial CYR"/>
          <w:lang w:val="uk-UA"/>
        </w:rPr>
      </w:pPr>
      <w:r w:rsidRPr="00A32EA7">
        <w:rPr>
          <w:rFonts w:eastAsia="Arial CYR"/>
          <w:lang w:val="uk-UA"/>
        </w:rPr>
        <w:t>Встановлені вище факти несанкціонованої торгівлі вказують на те, що заходи контролю, які здійснює КП «Міський магазин», не забезпечують дієвості в питанні припинення тако</w:t>
      </w:r>
      <w:r w:rsidR="00CB431D">
        <w:rPr>
          <w:rFonts w:eastAsia="Arial CYR"/>
          <w:lang w:val="uk-UA"/>
        </w:rPr>
        <w:t>ї діяльності або її легалізації.</w:t>
      </w:r>
    </w:p>
    <w:p w:rsidR="00A32EA7" w:rsidRPr="00A32EA7" w:rsidRDefault="00A32EA7" w:rsidP="00A32EA7">
      <w:pPr>
        <w:widowControl w:val="0"/>
        <w:tabs>
          <w:tab w:val="left" w:pos="920"/>
          <w:tab w:val="left" w:pos="998"/>
        </w:tabs>
        <w:autoSpaceDE w:val="0"/>
        <w:autoSpaceDN w:val="0"/>
        <w:adjustRightInd w:val="0"/>
        <w:ind w:left="5" w:firstLine="568"/>
        <w:contextualSpacing/>
        <w:jc w:val="both"/>
        <w:rPr>
          <w:rFonts w:eastAsia="Arial CYR"/>
          <w:lang w:val="uk-UA"/>
        </w:rPr>
      </w:pPr>
      <w:r w:rsidRPr="00A32EA7">
        <w:rPr>
          <w:rFonts w:eastAsia="Arial CYR"/>
          <w:lang w:val="uk-UA"/>
        </w:rPr>
        <w:t>При цьому КП «Міський магазин» в ході здійснення моніторингу (огляду, інспектувань тощо) в період 2020 – І півріччя 2021 років виявлено 2 069 нелегально розміщених об’єктів пересувної та сезонної дрібнороздрібної торгівлі, про що в більшості випадків Підприємством починаючи з 2021 року забезпечено інформування інших структурних підрозділів КМДА в т.ч. Департамент міського благоустрою щодо можливості демонтажу таких за</w:t>
      </w:r>
      <w:r w:rsidR="00CB431D">
        <w:rPr>
          <w:rFonts w:eastAsia="Arial CYR"/>
          <w:lang w:val="uk-UA"/>
        </w:rPr>
        <w:t>собів несанкціонованої торгівлі.</w:t>
      </w:r>
      <w:r w:rsidRPr="00A32EA7">
        <w:rPr>
          <w:rFonts w:eastAsia="Arial CYR"/>
          <w:lang w:val="uk-UA"/>
        </w:rPr>
        <w:t xml:space="preserve">     </w:t>
      </w:r>
    </w:p>
    <w:p w:rsidR="00A32EA7" w:rsidRPr="00A32EA7" w:rsidRDefault="00A32EA7" w:rsidP="00A32EA7">
      <w:pPr>
        <w:widowControl w:val="0"/>
        <w:tabs>
          <w:tab w:val="left" w:pos="920"/>
          <w:tab w:val="left" w:pos="998"/>
        </w:tabs>
        <w:autoSpaceDE w:val="0"/>
        <w:autoSpaceDN w:val="0"/>
        <w:adjustRightInd w:val="0"/>
        <w:ind w:left="5" w:firstLine="568"/>
        <w:contextualSpacing/>
        <w:jc w:val="both"/>
        <w:rPr>
          <w:rFonts w:eastAsia="Arial CYR"/>
          <w:lang w:val="uk-UA"/>
        </w:rPr>
      </w:pPr>
      <w:r w:rsidRPr="00A32EA7">
        <w:rPr>
          <w:rFonts w:eastAsia="Arial CYR"/>
          <w:lang w:val="uk-UA"/>
        </w:rPr>
        <w:t xml:space="preserve">Також варто відмітити, </w:t>
      </w:r>
      <w:r w:rsidRPr="00A32EA7">
        <w:rPr>
          <w:rFonts w:eastAsia="Arial CYR"/>
          <w:b/>
          <w:lang w:val="uk-UA"/>
        </w:rPr>
        <w:t>що з 565 локацій, які виставлялися на аукціони і за результатами яких договори не укладалися, близько 20% лотів (локацій)</w:t>
      </w:r>
      <w:r w:rsidRPr="00A32EA7">
        <w:rPr>
          <w:rFonts w:eastAsia="Arial CYR"/>
          <w:lang w:val="uk-UA"/>
        </w:rPr>
        <w:t xml:space="preserve"> не виставлялися на аукціони повторно, що значно зменшило перспективу укладення договорів і отримання доходів. При тому, що Порядком, затвердженим розпорядженням від 02.04.2015 № 300, яким Підприємство керується в діяльності щодо розміщення об’єктів торгівлі, кількість повторного розміщення л</w:t>
      </w:r>
      <w:r w:rsidR="00CB431D">
        <w:rPr>
          <w:rFonts w:eastAsia="Arial CYR"/>
          <w:lang w:val="uk-UA"/>
        </w:rPr>
        <w:t>окацій на аукціонах не обмежена.</w:t>
      </w:r>
    </w:p>
    <w:p w:rsidR="00F25ECC" w:rsidRDefault="00F25ECC" w:rsidP="00A32EA7">
      <w:pPr>
        <w:widowControl w:val="0"/>
        <w:tabs>
          <w:tab w:val="left" w:pos="920"/>
          <w:tab w:val="left" w:pos="998"/>
        </w:tabs>
        <w:autoSpaceDE w:val="0"/>
        <w:autoSpaceDN w:val="0"/>
        <w:adjustRightInd w:val="0"/>
        <w:ind w:left="5" w:firstLine="568"/>
        <w:contextualSpacing/>
        <w:jc w:val="both"/>
        <w:rPr>
          <w:rFonts w:eastAsia="Arial CYR"/>
          <w:b/>
          <w:i/>
          <w:lang w:val="uk-UA"/>
        </w:rPr>
      </w:pPr>
    </w:p>
    <w:p w:rsidR="00A32EA7" w:rsidRPr="00A32EA7" w:rsidRDefault="00CB431D" w:rsidP="00A32EA7">
      <w:pPr>
        <w:widowControl w:val="0"/>
        <w:tabs>
          <w:tab w:val="left" w:pos="920"/>
          <w:tab w:val="left" w:pos="998"/>
        </w:tabs>
        <w:autoSpaceDE w:val="0"/>
        <w:autoSpaceDN w:val="0"/>
        <w:adjustRightInd w:val="0"/>
        <w:ind w:left="5" w:firstLine="568"/>
        <w:contextualSpacing/>
        <w:jc w:val="both"/>
        <w:rPr>
          <w:rFonts w:eastAsia="Arial CYR"/>
          <w:lang w:val="uk-UA"/>
        </w:rPr>
      </w:pPr>
      <w:r>
        <w:rPr>
          <w:rFonts w:eastAsia="Arial CYR"/>
          <w:b/>
          <w:i/>
          <w:lang w:val="uk-UA"/>
        </w:rPr>
        <w:t>П</w:t>
      </w:r>
      <w:r w:rsidR="00023D3B" w:rsidRPr="00023D3B">
        <w:rPr>
          <w:rFonts w:eastAsia="Arial CYR"/>
          <w:b/>
          <w:i/>
          <w:lang w:val="uk-UA"/>
        </w:rPr>
        <w:t>о-третє</w:t>
      </w:r>
      <w:r w:rsidR="00023D3B">
        <w:rPr>
          <w:rFonts w:eastAsia="Arial CYR"/>
          <w:lang w:val="uk-UA"/>
        </w:rPr>
        <w:t xml:space="preserve">, </w:t>
      </w:r>
      <w:r w:rsidR="00A32EA7" w:rsidRPr="00A32EA7">
        <w:rPr>
          <w:rFonts w:eastAsia="Arial CYR"/>
          <w:lang w:val="uk-UA"/>
        </w:rPr>
        <w:t>в ході аудиту також ідентифіковано порушення та недоліки під час здійснення процесу орг</w:t>
      </w:r>
      <w:r>
        <w:rPr>
          <w:rFonts w:eastAsia="Arial CYR"/>
          <w:lang w:val="uk-UA"/>
        </w:rPr>
        <w:t>анізації розміщення атракціонів.</w:t>
      </w:r>
    </w:p>
    <w:p w:rsidR="00A32EA7" w:rsidRPr="00A32EA7" w:rsidRDefault="00A32EA7" w:rsidP="00A32EA7">
      <w:pPr>
        <w:widowControl w:val="0"/>
        <w:tabs>
          <w:tab w:val="left" w:pos="920"/>
          <w:tab w:val="left" w:pos="998"/>
        </w:tabs>
        <w:autoSpaceDE w:val="0"/>
        <w:autoSpaceDN w:val="0"/>
        <w:adjustRightInd w:val="0"/>
        <w:ind w:left="5" w:firstLine="568"/>
        <w:contextualSpacing/>
        <w:jc w:val="both"/>
        <w:rPr>
          <w:rFonts w:eastAsia="Arial CYR"/>
          <w:lang w:val="uk-UA"/>
        </w:rPr>
      </w:pPr>
      <w:r w:rsidRPr="00A32EA7">
        <w:rPr>
          <w:rFonts w:eastAsia="Arial CYR"/>
          <w:lang w:val="uk-UA"/>
        </w:rPr>
        <w:t xml:space="preserve">Так, </w:t>
      </w:r>
      <w:r w:rsidRPr="00A32EA7">
        <w:rPr>
          <w:rFonts w:eastAsia="Calibri"/>
          <w:lang w:val="uk-UA" w:eastAsia="en-US"/>
        </w:rPr>
        <w:t xml:space="preserve">з метою визначення суб’єктів господарювання для організації розміщення атракціонів на затверджених  у 2020 році 52 локаціях КП «Міський магазин» опубліковано в електронній торговій системі </w:t>
      </w:r>
      <w:proofErr w:type="spellStart"/>
      <w:r w:rsidRPr="00A32EA7">
        <w:rPr>
          <w:rFonts w:eastAsia="Calibri"/>
          <w:lang w:val="uk-UA" w:eastAsia="en-US"/>
        </w:rPr>
        <w:t>Prozorro.Пр</w:t>
      </w:r>
      <w:r w:rsidR="00CB431D">
        <w:rPr>
          <w:rFonts w:eastAsia="Calibri"/>
          <w:lang w:val="uk-UA" w:eastAsia="en-US"/>
        </w:rPr>
        <w:t>одажі</w:t>
      </w:r>
      <w:proofErr w:type="spellEnd"/>
      <w:r w:rsidR="00CB431D">
        <w:rPr>
          <w:rFonts w:eastAsia="Calibri"/>
          <w:lang w:val="uk-UA" w:eastAsia="en-US"/>
        </w:rPr>
        <w:t xml:space="preserve"> 111 відповідних оголошень.</w:t>
      </w:r>
    </w:p>
    <w:p w:rsidR="00A32EA7" w:rsidRPr="00A32EA7" w:rsidRDefault="00A32EA7" w:rsidP="00A32EA7">
      <w:pPr>
        <w:suppressAutoHyphens/>
        <w:ind w:firstLine="567"/>
        <w:jc w:val="both"/>
        <w:outlineLvl w:val="0"/>
        <w:rPr>
          <w:rFonts w:eastAsia="Calibri"/>
          <w:lang w:val="uk-UA" w:eastAsia="en-US"/>
        </w:rPr>
      </w:pPr>
      <w:r w:rsidRPr="00A32EA7">
        <w:rPr>
          <w:rFonts w:eastAsia="Calibri"/>
          <w:lang w:val="uk-UA" w:eastAsia="en-US"/>
        </w:rPr>
        <w:t>З них у 84% випадків (93 оголошення) аукціони не відбулися з причин відсутності учасників (63 випадки), у зв’язку із поданням недостатньої кількості (менше 2-х) цінових пропозицій (29 випадків) та дискваліфікацією учасників (1 випадок) та у 8% випадків аукціони відмінено (технічні</w:t>
      </w:r>
      <w:r w:rsidR="00CB431D">
        <w:rPr>
          <w:rFonts w:eastAsia="Calibri"/>
          <w:lang w:val="uk-UA" w:eastAsia="en-US"/>
        </w:rPr>
        <w:t xml:space="preserve"> помилки, листи-звернення тощо).</w:t>
      </w:r>
    </w:p>
    <w:p w:rsidR="00A32EA7" w:rsidRPr="00A32EA7" w:rsidRDefault="00A32EA7" w:rsidP="00A32EA7">
      <w:pPr>
        <w:suppressAutoHyphens/>
        <w:ind w:firstLine="567"/>
        <w:jc w:val="both"/>
        <w:outlineLvl w:val="0"/>
        <w:rPr>
          <w:rFonts w:eastAsia="Calibri"/>
          <w:lang w:val="uk-UA" w:eastAsia="en-US"/>
        </w:rPr>
      </w:pPr>
      <w:r w:rsidRPr="00A32EA7">
        <w:rPr>
          <w:rFonts w:eastAsia="Calibri"/>
          <w:lang w:val="uk-UA" w:eastAsia="en-US"/>
        </w:rPr>
        <w:t>Тобто, із 52 затверджених локацій, права на розміщення суб’єктами господарювання атракціонів щодо яких Підприємством виставлено на торги, тільки 8 (15%) реалізовано на конкурентній основі за результатами аукціонів, середня прибутковість яких становила близько 30%, а в одному випадку продажна ціна лота перевищила його початкову ціну більш ніж у шість разів - з 2</w:t>
      </w:r>
      <w:r w:rsidR="00CB431D">
        <w:rPr>
          <w:rFonts w:eastAsia="Calibri"/>
          <w:lang w:val="uk-UA" w:eastAsia="en-US"/>
        </w:rPr>
        <w:t>0 тис. грн до 122, тис. гривень.</w:t>
      </w:r>
    </w:p>
    <w:p w:rsidR="00A32EA7" w:rsidRPr="00A32EA7" w:rsidRDefault="00A32EA7" w:rsidP="00A32EA7">
      <w:pPr>
        <w:suppressAutoHyphens/>
        <w:ind w:firstLine="567"/>
        <w:jc w:val="both"/>
        <w:outlineLvl w:val="0"/>
        <w:rPr>
          <w:rFonts w:eastAsia="Calibri"/>
          <w:lang w:val="uk-UA" w:eastAsia="en-US"/>
        </w:rPr>
      </w:pPr>
      <w:r w:rsidRPr="00A32EA7">
        <w:rPr>
          <w:rFonts w:eastAsia="Calibri"/>
          <w:lang w:val="uk-UA" w:eastAsia="en-US"/>
        </w:rPr>
        <w:t>Незважаючи на в основному безрезультативний статус оголошених торгів в електронній торговій системі Prozorro.Продажі, всупереч діючих на той час затверджених регламентних процедур (Регламент ЕТС), Підприємством практикувалось укладання по таких торгах договорів на розміщення атракціонів з єдиними у</w:t>
      </w:r>
      <w:r w:rsidR="00CB431D">
        <w:rPr>
          <w:rFonts w:eastAsia="Calibri"/>
          <w:lang w:val="uk-UA" w:eastAsia="en-US"/>
        </w:rPr>
        <w:t>часниками електронних аукціонів.</w:t>
      </w:r>
      <w:r w:rsidRPr="00A32EA7">
        <w:rPr>
          <w:rFonts w:eastAsia="Calibri"/>
          <w:lang w:val="uk-UA" w:eastAsia="en-US"/>
        </w:rPr>
        <w:t xml:space="preserve">    </w:t>
      </w:r>
    </w:p>
    <w:p w:rsidR="00A32EA7" w:rsidRPr="00A32EA7" w:rsidRDefault="00A32EA7" w:rsidP="00A32EA7">
      <w:pPr>
        <w:ind w:firstLine="567"/>
        <w:contextualSpacing/>
        <w:jc w:val="both"/>
        <w:rPr>
          <w:i/>
          <w:lang w:val="uk-UA"/>
        </w:rPr>
      </w:pPr>
      <w:r w:rsidRPr="00A32EA7">
        <w:rPr>
          <w:rFonts w:eastAsia="Calibri"/>
          <w:lang w:val="uk-UA" w:eastAsia="en-US"/>
        </w:rPr>
        <w:t xml:space="preserve">Водночас встановлені непоодинокі випадки штучних зривів аукціонів (завищення учасниками цінової пропозиції з подальшою відмовою в укладанні договору), маніпулятивних дій учасників та організатора конкурсу (безпідставне неукладання  договору з високою продажною вартістю лота з одночасним та передчасним оголошенням нового аукціону за таким лотом), необґрунтованого заниження початкової вартості лотів тощо призвели до недоотриманням коштів Підприємством </w:t>
      </w:r>
      <w:r w:rsidRPr="00A32EA7">
        <w:rPr>
          <w:rFonts w:eastAsia="Calibri"/>
          <w:b/>
          <w:i/>
          <w:lang w:val="uk-UA" w:eastAsia="en-US"/>
        </w:rPr>
        <w:t>у сумі</w:t>
      </w:r>
      <w:r w:rsidRPr="00A32EA7">
        <w:rPr>
          <w:rFonts w:eastAsia="Calibri"/>
          <w:i/>
          <w:lang w:val="uk-UA" w:eastAsia="en-US"/>
        </w:rPr>
        <w:t xml:space="preserve"> </w:t>
      </w:r>
      <w:r w:rsidRPr="00A32EA7">
        <w:rPr>
          <w:rFonts w:eastAsia="Calibri"/>
          <w:b/>
          <w:i/>
          <w:lang w:val="uk-UA" w:eastAsia="en-US"/>
        </w:rPr>
        <w:t>197,5 тис. грн</w:t>
      </w:r>
      <w:r w:rsidRPr="00A32EA7">
        <w:rPr>
          <w:rFonts w:eastAsia="Calibri"/>
          <w:i/>
          <w:lang w:val="uk-UA" w:eastAsia="en-US"/>
        </w:rPr>
        <w:t xml:space="preserve"> та ризику їх втрати </w:t>
      </w:r>
      <w:r w:rsidRPr="00A32EA7">
        <w:rPr>
          <w:rFonts w:eastAsia="Calibri"/>
          <w:b/>
          <w:i/>
          <w:lang w:val="uk-UA" w:eastAsia="en-US"/>
        </w:rPr>
        <w:t>у сумі 4,4 тис. гривень</w:t>
      </w:r>
      <w:r w:rsidR="00CB431D">
        <w:rPr>
          <w:rFonts w:eastAsia="Calibri"/>
          <w:i/>
          <w:lang w:val="uk-UA" w:eastAsia="en-US"/>
        </w:rPr>
        <w:t>.</w:t>
      </w:r>
      <w:r w:rsidRPr="00A32EA7">
        <w:rPr>
          <w:i/>
          <w:lang w:val="uk-UA"/>
        </w:rPr>
        <w:t xml:space="preserve"> </w:t>
      </w:r>
    </w:p>
    <w:p w:rsidR="00F25ECC" w:rsidRDefault="00F25ECC" w:rsidP="00A32EA7">
      <w:pPr>
        <w:ind w:firstLine="567"/>
        <w:contextualSpacing/>
        <w:jc w:val="both"/>
        <w:rPr>
          <w:b/>
          <w:i/>
          <w:lang w:val="uk-UA"/>
        </w:rPr>
      </w:pPr>
    </w:p>
    <w:p w:rsidR="00A32EA7" w:rsidRPr="00A32EA7" w:rsidRDefault="00CB431D" w:rsidP="00A32EA7">
      <w:pPr>
        <w:ind w:firstLine="567"/>
        <w:contextualSpacing/>
        <w:jc w:val="both"/>
        <w:rPr>
          <w:lang w:val="uk-UA"/>
        </w:rPr>
      </w:pPr>
      <w:r>
        <w:rPr>
          <w:b/>
          <w:i/>
          <w:lang w:val="uk-UA"/>
        </w:rPr>
        <w:t>П</w:t>
      </w:r>
      <w:r w:rsidR="00023D3B" w:rsidRPr="00023D3B">
        <w:rPr>
          <w:b/>
          <w:i/>
          <w:lang w:val="uk-UA"/>
        </w:rPr>
        <w:t>о-четверте</w:t>
      </w:r>
      <w:r w:rsidR="00023D3B">
        <w:rPr>
          <w:lang w:val="uk-UA"/>
        </w:rPr>
        <w:t>, в</w:t>
      </w:r>
      <w:r w:rsidR="00A32EA7" w:rsidRPr="00A32EA7">
        <w:rPr>
          <w:lang w:val="uk-UA"/>
        </w:rPr>
        <w:t>ідсутність регламентованих процедур виявлення, фіксації,  узагальнення, систематизації та реалізації матеріалів обстежень локацій розміщення (встановлення) атракціонів з одночасним неналежним контролем органів управління у сфері благоустрою та неналежне виконанням працівниками Підприємства передбачених внутрішніми документами за цим напрямком завдань та обов’язків практично нівелюють прийняті міською владою рішення, спрямовані на впорядкування</w:t>
      </w:r>
      <w:r>
        <w:rPr>
          <w:lang w:val="uk-UA"/>
        </w:rPr>
        <w:t xml:space="preserve"> в місті діяльності атракціонів.</w:t>
      </w:r>
    </w:p>
    <w:p w:rsidR="00A32EA7" w:rsidRPr="00A32EA7" w:rsidRDefault="00A32EA7" w:rsidP="00A32EA7">
      <w:pPr>
        <w:ind w:firstLine="567"/>
        <w:contextualSpacing/>
        <w:jc w:val="both"/>
        <w:rPr>
          <w:b/>
          <w:i/>
          <w:lang w:val="uk-UA"/>
        </w:rPr>
      </w:pPr>
      <w:r w:rsidRPr="00A32EA7">
        <w:rPr>
          <w:lang w:val="uk-UA"/>
        </w:rPr>
        <w:lastRenderedPageBreak/>
        <w:t xml:space="preserve">Зокрема, оглянувши в 6 парках створеною під час проведення аудиту комісією 13 договірних локацій з атракціонами (43% від їх загальної договірної кількості) встановлено 7 випадків їх самовільного розміщення (каруселі, електромобілі, батут тощо), що дає підстави стверджувати про нелегальне (без договірних та дозвільних документів)  функціонування у місті Києві майже кожного другого атракціону, що окрім безпекових загроз та порушень благоустрою, завдає і фінансових недоотримань Підприємству щонайменше </w:t>
      </w:r>
      <w:r w:rsidRPr="00A32EA7">
        <w:rPr>
          <w:b/>
          <w:i/>
          <w:lang w:val="uk-UA"/>
        </w:rPr>
        <w:t>190 тис. грив</w:t>
      </w:r>
      <w:r w:rsidR="00CB431D">
        <w:rPr>
          <w:b/>
          <w:i/>
          <w:lang w:val="uk-UA"/>
        </w:rPr>
        <w:t>ень.</w:t>
      </w:r>
      <w:r w:rsidRPr="00A32EA7">
        <w:rPr>
          <w:b/>
          <w:i/>
          <w:lang w:val="uk-UA"/>
        </w:rPr>
        <w:t xml:space="preserve"> </w:t>
      </w:r>
    </w:p>
    <w:p w:rsidR="00A32EA7" w:rsidRPr="00A32EA7" w:rsidRDefault="00A32EA7" w:rsidP="00A32EA7">
      <w:pPr>
        <w:ind w:firstLine="567"/>
        <w:jc w:val="both"/>
        <w:rPr>
          <w:lang w:val="uk-UA"/>
        </w:rPr>
      </w:pPr>
      <w:r w:rsidRPr="00A32EA7">
        <w:rPr>
          <w:lang w:val="uk-UA"/>
        </w:rPr>
        <w:t>При цьому, КП «Міський магазин» в період 2021 року неодноразово інформувало про вказані вище випадки Департамент промисловості, Департамент міського благоустрою, інші структурні підрозділи виконавчого органу Київської міської ради (КМДА) та районні в місті Києві державні адміністрації щодо можлив</w:t>
      </w:r>
      <w:r w:rsidR="00CB431D">
        <w:rPr>
          <w:lang w:val="uk-UA"/>
        </w:rPr>
        <w:t>ості вжиття відповідних заходів.</w:t>
      </w:r>
      <w:r w:rsidRPr="00A32EA7">
        <w:rPr>
          <w:lang w:val="uk-UA"/>
        </w:rPr>
        <w:t xml:space="preserve"> </w:t>
      </w:r>
    </w:p>
    <w:p w:rsidR="00A32EA7" w:rsidRPr="00A32EA7" w:rsidRDefault="00A32EA7" w:rsidP="00A32EA7">
      <w:pPr>
        <w:ind w:firstLine="567"/>
        <w:jc w:val="both"/>
        <w:rPr>
          <w:lang w:val="uk-UA"/>
        </w:rPr>
      </w:pPr>
      <w:r w:rsidRPr="00A32EA7">
        <w:rPr>
          <w:lang w:val="uk-UA"/>
        </w:rPr>
        <w:t>Відмічається також, що наявна система контролю КП «Міський магазин» не забезпечує ефективності в частині перешкоджання та виявлення фактів діяльності, яка має ознаки несанкціонованої торгівлі послугами атракціонів, а нормативно-правова база, якою Підприємство керується в своїй господарській діяльності не передбачає дієвого механізму щодо заходів впливу до суб’єктів господарювання, які використовують локації м. Києва без дозвільни</w:t>
      </w:r>
      <w:r w:rsidR="00CB431D">
        <w:rPr>
          <w:lang w:val="uk-UA"/>
        </w:rPr>
        <w:t>х чи будь-яких інших документів.</w:t>
      </w:r>
      <w:r w:rsidRPr="00A32EA7">
        <w:rPr>
          <w:lang w:val="uk-UA"/>
        </w:rPr>
        <w:t xml:space="preserve">  </w:t>
      </w:r>
    </w:p>
    <w:p w:rsidR="00A32EA7" w:rsidRPr="00A32EA7" w:rsidRDefault="00A32EA7" w:rsidP="00A32EA7">
      <w:pPr>
        <w:ind w:firstLine="567"/>
        <w:jc w:val="both"/>
        <w:rPr>
          <w:lang w:val="uk-UA"/>
        </w:rPr>
      </w:pPr>
      <w:r w:rsidRPr="00A32EA7">
        <w:rPr>
          <w:lang w:val="uk-UA"/>
        </w:rPr>
        <w:t>Відсутність у суб’єктів господарювання ефекту «відчуття контрольованості» не стимулює провадити господарську діяльність шляхом використання атракціонів в правовому полі, про що серед іншого свідчить двократне в 2020 році в порівнянні з минулим періодом зниження доходу Підприємства від такої діяльності (</w:t>
      </w:r>
      <w:r w:rsidR="00CB431D">
        <w:rPr>
          <w:lang w:val="uk-UA"/>
        </w:rPr>
        <w:t>з 1,25 млн грн до 0,65 млн грн).</w:t>
      </w:r>
      <w:r w:rsidRPr="00A32EA7">
        <w:rPr>
          <w:lang w:val="uk-UA"/>
        </w:rPr>
        <w:t xml:space="preserve"> </w:t>
      </w:r>
    </w:p>
    <w:p w:rsidR="00A32EA7" w:rsidRPr="00A32EA7" w:rsidRDefault="00A32EA7" w:rsidP="00A32EA7">
      <w:pPr>
        <w:ind w:firstLine="567"/>
        <w:jc w:val="both"/>
        <w:rPr>
          <w:lang w:val="uk-UA"/>
        </w:rPr>
      </w:pPr>
    </w:p>
    <w:p w:rsidR="00A32EA7" w:rsidRPr="00A32EA7" w:rsidRDefault="00CB431D" w:rsidP="00A32EA7">
      <w:pPr>
        <w:ind w:firstLine="567"/>
        <w:jc w:val="both"/>
        <w:rPr>
          <w:i/>
          <w:lang w:val="uk-UA"/>
        </w:rPr>
      </w:pPr>
      <w:r>
        <w:rPr>
          <w:b/>
          <w:i/>
          <w:lang w:val="uk-UA"/>
        </w:rPr>
        <w:t>П</w:t>
      </w:r>
      <w:r w:rsidR="00E10665" w:rsidRPr="00E10665">
        <w:rPr>
          <w:b/>
          <w:i/>
          <w:lang w:val="uk-UA"/>
        </w:rPr>
        <w:t>о-п’яте,</w:t>
      </w:r>
      <w:r w:rsidR="00E10665">
        <w:rPr>
          <w:lang w:val="uk-UA"/>
        </w:rPr>
        <w:t xml:space="preserve"> п</w:t>
      </w:r>
      <w:r w:rsidR="00A32EA7" w:rsidRPr="00A32EA7">
        <w:rPr>
          <w:lang w:val="uk-UA"/>
        </w:rPr>
        <w:t xml:space="preserve">ослаблюючи, а в окремих випадках (34 випадки) – незастосовуючи передбачені договорами на розміщення засобів пересувної та об’єктів сезонної дрібнороздрібної торгівельної мережі штрафні та оперативно-господарські санкції до порушників господарських зобов’язань, Підприємство стимулює останніх до погіршення платіжної дисципліни, наслідком чого є суттєве більш ніж 40 відсоткове зростання протягом 2020 року дебіторської заборгованості до 2,14 млн грн, втрата можливості отримати додаткові надходження через невикористані права на реалізацію вищенаведених видів забезпечення виконання зобов’язань у розрахунковій </w:t>
      </w:r>
      <w:r w:rsidR="00A32EA7" w:rsidRPr="00A32EA7">
        <w:rPr>
          <w:b/>
          <w:i/>
          <w:lang w:val="uk-UA"/>
        </w:rPr>
        <w:t>сумі 403,8 тис. грн</w:t>
      </w:r>
      <w:r w:rsidR="00A32EA7" w:rsidRPr="00A32EA7">
        <w:rPr>
          <w:i/>
          <w:lang w:val="uk-UA"/>
        </w:rPr>
        <w:t xml:space="preserve"> та ризик втрат таких </w:t>
      </w:r>
      <w:r>
        <w:rPr>
          <w:b/>
          <w:i/>
          <w:lang w:val="uk-UA"/>
        </w:rPr>
        <w:t>коштів 276,9 тис. гривень.</w:t>
      </w:r>
      <w:r w:rsidR="00A32EA7" w:rsidRPr="00A32EA7">
        <w:rPr>
          <w:i/>
          <w:lang w:val="uk-UA"/>
        </w:rPr>
        <w:t xml:space="preserve">   </w:t>
      </w:r>
    </w:p>
    <w:p w:rsidR="00F25ECC" w:rsidRDefault="00F25ECC" w:rsidP="00A32EA7">
      <w:pPr>
        <w:shd w:val="clear" w:color="auto" w:fill="FFFFFF"/>
        <w:ind w:left="34" w:firstLine="425"/>
        <w:contextualSpacing/>
        <w:jc w:val="both"/>
        <w:outlineLvl w:val="1"/>
        <w:rPr>
          <w:rFonts w:eastAsia="Arial"/>
          <w:b/>
          <w:i/>
          <w:lang w:val="uk-UA" w:eastAsia="ar-SA"/>
        </w:rPr>
      </w:pPr>
    </w:p>
    <w:p w:rsidR="00A32EA7" w:rsidRPr="00A32EA7" w:rsidRDefault="00CB431D" w:rsidP="00A32EA7">
      <w:pPr>
        <w:shd w:val="clear" w:color="auto" w:fill="FFFFFF"/>
        <w:ind w:left="34" w:firstLine="425"/>
        <w:contextualSpacing/>
        <w:jc w:val="both"/>
        <w:outlineLvl w:val="1"/>
        <w:rPr>
          <w:rFonts w:eastAsia="Arial"/>
          <w:lang w:val="uk-UA" w:eastAsia="ar-SA"/>
        </w:rPr>
      </w:pPr>
      <w:r>
        <w:rPr>
          <w:rFonts w:eastAsia="Arial"/>
          <w:b/>
          <w:i/>
          <w:lang w:val="uk-UA" w:eastAsia="ar-SA"/>
        </w:rPr>
        <w:t>П</w:t>
      </w:r>
      <w:r w:rsidR="00E10665" w:rsidRPr="00E10665">
        <w:rPr>
          <w:rFonts w:eastAsia="Arial"/>
          <w:b/>
          <w:i/>
          <w:lang w:val="uk-UA" w:eastAsia="ar-SA"/>
        </w:rPr>
        <w:t>о-шосте</w:t>
      </w:r>
      <w:r w:rsidR="00E10665">
        <w:rPr>
          <w:rFonts w:eastAsia="Arial"/>
          <w:lang w:val="uk-UA" w:eastAsia="ar-SA"/>
        </w:rPr>
        <w:t>, д</w:t>
      </w:r>
      <w:r w:rsidR="00A32EA7" w:rsidRPr="00A32EA7">
        <w:rPr>
          <w:rFonts w:eastAsia="Arial"/>
          <w:lang w:val="uk-UA" w:eastAsia="ar-SA"/>
        </w:rPr>
        <w:t xml:space="preserve">ослідження економічних показників господарської діяльності Підприємства засвідчило стрімке, більш ніж вдвічі, зростання протягом 2020 року обсягу дебіторської заборгованості, </w:t>
      </w:r>
      <w:r w:rsidR="00A32EA7" w:rsidRPr="00A32EA7">
        <w:rPr>
          <w:rFonts w:eastAsia="Arial"/>
          <w:b/>
          <w:i/>
          <w:lang w:val="uk-UA" w:eastAsia="ar-SA"/>
        </w:rPr>
        <w:t>яка з 4,6 млн грн</w:t>
      </w:r>
      <w:r w:rsidR="00A32EA7" w:rsidRPr="00A32EA7">
        <w:rPr>
          <w:rFonts w:eastAsia="Arial"/>
          <w:i/>
          <w:lang w:val="uk-UA" w:eastAsia="ar-SA"/>
        </w:rPr>
        <w:t xml:space="preserve"> </w:t>
      </w:r>
      <w:r w:rsidR="00A32EA7" w:rsidRPr="00A32EA7">
        <w:rPr>
          <w:rFonts w:eastAsia="Arial"/>
          <w:lang w:val="uk-UA" w:eastAsia="ar-SA"/>
        </w:rPr>
        <w:t>на початок 2021 року збільшилася</w:t>
      </w:r>
      <w:r w:rsidR="00A32EA7" w:rsidRPr="00A32EA7">
        <w:rPr>
          <w:rFonts w:eastAsia="Arial"/>
          <w:i/>
          <w:lang w:val="uk-UA" w:eastAsia="ar-SA"/>
        </w:rPr>
        <w:t xml:space="preserve"> </w:t>
      </w:r>
      <w:r>
        <w:rPr>
          <w:rFonts w:eastAsia="Arial"/>
          <w:b/>
          <w:i/>
          <w:lang w:val="uk-UA" w:eastAsia="ar-SA"/>
        </w:rPr>
        <w:t>до 9,2 млн гривень.</w:t>
      </w:r>
      <w:r w:rsidR="00A32EA7" w:rsidRPr="00A32EA7">
        <w:rPr>
          <w:rFonts w:eastAsia="Arial"/>
          <w:lang w:val="uk-UA" w:eastAsia="ar-SA"/>
        </w:rPr>
        <w:t xml:space="preserve"> </w:t>
      </w:r>
    </w:p>
    <w:p w:rsidR="00A32EA7" w:rsidRPr="00A32EA7" w:rsidRDefault="00A32EA7" w:rsidP="00A32EA7">
      <w:pPr>
        <w:shd w:val="clear" w:color="auto" w:fill="FFFFFF"/>
        <w:ind w:left="34" w:firstLine="425"/>
        <w:contextualSpacing/>
        <w:jc w:val="both"/>
        <w:outlineLvl w:val="1"/>
        <w:rPr>
          <w:rFonts w:eastAsia="Arial"/>
          <w:lang w:val="uk-UA" w:eastAsia="ar-SA"/>
        </w:rPr>
      </w:pPr>
      <w:r w:rsidRPr="00A32EA7">
        <w:rPr>
          <w:rFonts w:eastAsia="Arial"/>
          <w:lang w:val="uk-UA" w:eastAsia="ar-SA"/>
        </w:rPr>
        <w:t>Основними, на думку аудиторів, факторами впливу на динаміку дебіторської заборгованості є уповільнення платіжного обороту, пов'язане із несвоєчасністю розрахунків за договорами на розміщення атракціонів, об’єктів сезонної/пересувної дрібнороздрібної торгівельної мережі та договорів на проведення ярмаркових заходів, неналежна організація претензійної та позовної роботи, неякісне (формальне) проведення інвентаризації взаєморозрахунків та несистемність застосування Підприємством договірних механізмів в</w:t>
      </w:r>
      <w:r w:rsidR="00F25ECC">
        <w:rPr>
          <w:rFonts w:eastAsia="Arial"/>
          <w:lang w:val="uk-UA" w:eastAsia="ar-SA"/>
        </w:rPr>
        <w:t>пл</w:t>
      </w:r>
      <w:r w:rsidR="00CB431D">
        <w:rPr>
          <w:rFonts w:eastAsia="Arial"/>
          <w:lang w:val="uk-UA" w:eastAsia="ar-SA"/>
        </w:rPr>
        <w:t>иву до порушників зобов’язань.</w:t>
      </w:r>
    </w:p>
    <w:p w:rsidR="00A32EA7" w:rsidRPr="00A32EA7" w:rsidRDefault="00A32EA7" w:rsidP="00A32EA7">
      <w:pPr>
        <w:ind w:firstLine="709"/>
        <w:jc w:val="both"/>
        <w:rPr>
          <w:rFonts w:eastAsia="Arial"/>
          <w:b/>
          <w:i/>
          <w:lang w:val="uk-UA" w:eastAsia="ar-SA"/>
        </w:rPr>
      </w:pPr>
      <w:r w:rsidRPr="00A32EA7">
        <w:rPr>
          <w:rFonts w:eastAsia="Arial"/>
          <w:lang w:val="uk-UA" w:eastAsia="ar-SA"/>
        </w:rPr>
        <w:t xml:space="preserve">Наприклад, претензійна та позовна робота із забезпечення виконання зобов’язань по </w:t>
      </w:r>
      <w:r w:rsidRPr="00A32EA7">
        <w:rPr>
          <w:rFonts w:eastAsia="Arial"/>
          <w:lang w:val="uk-UA" w:eastAsia="ar-SA"/>
        </w:rPr>
        <w:br/>
        <w:t xml:space="preserve">26 договорах, щодо яких обліковується дебіторська заборгованість терміном від 2 місяців до 3 років, Підприємством практично не велась, </w:t>
      </w:r>
      <w:r w:rsidRPr="00A32EA7">
        <w:rPr>
          <w:rFonts w:eastAsia="Arial"/>
          <w:b/>
          <w:i/>
          <w:lang w:val="uk-UA" w:eastAsia="ar-SA"/>
        </w:rPr>
        <w:t xml:space="preserve">що створює ризик втрат </w:t>
      </w:r>
      <w:r w:rsidR="00CB431D">
        <w:rPr>
          <w:rFonts w:eastAsia="Arial"/>
          <w:b/>
          <w:i/>
          <w:lang w:val="uk-UA" w:eastAsia="ar-SA"/>
        </w:rPr>
        <w:t xml:space="preserve">активів у сумі </w:t>
      </w:r>
      <w:r w:rsidR="00CB431D">
        <w:rPr>
          <w:rFonts w:eastAsia="Arial"/>
          <w:b/>
          <w:i/>
          <w:lang w:val="uk-UA" w:eastAsia="ar-SA"/>
        </w:rPr>
        <w:br/>
        <w:t>2,3 млн гривень.</w:t>
      </w:r>
    </w:p>
    <w:p w:rsidR="00A32EA7" w:rsidRPr="00A32EA7" w:rsidRDefault="00A32EA7" w:rsidP="00A32EA7">
      <w:pPr>
        <w:ind w:firstLine="709"/>
        <w:jc w:val="both"/>
        <w:rPr>
          <w:lang w:val="uk-UA"/>
        </w:rPr>
      </w:pPr>
    </w:p>
    <w:p w:rsidR="00A32EA7" w:rsidRPr="00A32EA7" w:rsidRDefault="00CB431D" w:rsidP="00A32EA7">
      <w:pPr>
        <w:ind w:firstLine="709"/>
        <w:jc w:val="both"/>
        <w:rPr>
          <w:i/>
          <w:lang w:val="uk-UA"/>
        </w:rPr>
      </w:pPr>
      <w:r>
        <w:rPr>
          <w:b/>
          <w:i/>
          <w:lang w:val="uk-UA"/>
        </w:rPr>
        <w:t>П</w:t>
      </w:r>
      <w:r w:rsidR="00E10665" w:rsidRPr="00E10665">
        <w:rPr>
          <w:b/>
          <w:i/>
          <w:lang w:val="uk-UA"/>
        </w:rPr>
        <w:t>о-сьоме,</w:t>
      </w:r>
      <w:r w:rsidR="00E10665">
        <w:rPr>
          <w:lang w:val="uk-UA"/>
        </w:rPr>
        <w:t xml:space="preserve"> н</w:t>
      </w:r>
      <w:r w:rsidR="00A32EA7" w:rsidRPr="00A32EA7">
        <w:rPr>
          <w:lang w:val="uk-UA"/>
        </w:rPr>
        <w:t>арахування та виплата у 2020 році</w:t>
      </w:r>
      <w:r w:rsidR="009B0944">
        <w:rPr>
          <w:lang w:val="uk-UA"/>
        </w:rPr>
        <w:t xml:space="preserve"> </w:t>
      </w:r>
      <w:r w:rsidR="00A32EA7" w:rsidRPr="00A32EA7">
        <w:rPr>
          <w:lang w:val="uk-UA"/>
        </w:rPr>
        <w:t xml:space="preserve">директору Підприємства </w:t>
      </w:r>
      <w:r w:rsidR="009B0944">
        <w:rPr>
          <w:lang w:val="uk-UA"/>
        </w:rPr>
        <w:br/>
        <w:t xml:space="preserve">Андрущенку А.В. </w:t>
      </w:r>
      <w:r w:rsidR="00A32EA7" w:rsidRPr="00A32EA7">
        <w:rPr>
          <w:lang w:val="uk-UA"/>
        </w:rPr>
        <w:t xml:space="preserve">непередбачених контрактом та без дотримання погоджувальних процедур доплат за інтенсивність праці та надбавки за виконання особливо важливої роботи призвело </w:t>
      </w:r>
      <w:r w:rsidR="00A32EA7" w:rsidRPr="00A32EA7">
        <w:rPr>
          <w:b/>
          <w:i/>
          <w:lang w:val="uk-UA"/>
        </w:rPr>
        <w:t>до зайвих витрат Підприє</w:t>
      </w:r>
      <w:r>
        <w:rPr>
          <w:b/>
          <w:i/>
          <w:lang w:val="uk-UA"/>
        </w:rPr>
        <w:t>мства у сумі 220,1 тис. гривень.</w:t>
      </w:r>
      <w:r w:rsidR="00A32EA7" w:rsidRPr="00A32EA7">
        <w:rPr>
          <w:i/>
          <w:lang w:val="uk-UA"/>
        </w:rPr>
        <w:t xml:space="preserve"> </w:t>
      </w:r>
    </w:p>
    <w:p w:rsidR="00A32EA7" w:rsidRPr="00A32EA7" w:rsidRDefault="00A32EA7" w:rsidP="00A32EA7">
      <w:pPr>
        <w:ind w:firstLine="709"/>
        <w:jc w:val="both"/>
        <w:rPr>
          <w:b/>
          <w:i/>
          <w:lang w:val="uk-UA"/>
        </w:rPr>
      </w:pPr>
      <w:r w:rsidRPr="00A32EA7">
        <w:rPr>
          <w:lang w:val="uk-UA"/>
        </w:rPr>
        <w:t xml:space="preserve">Також незважаючи </w:t>
      </w:r>
      <w:r w:rsidRPr="00A32EA7">
        <w:rPr>
          <w:rFonts w:eastAsia="Calibri"/>
          <w:lang w:val="uk-UA" w:eastAsia="en-US"/>
        </w:rPr>
        <w:t xml:space="preserve">на штатну </w:t>
      </w:r>
      <w:r w:rsidRPr="00A32EA7">
        <w:rPr>
          <w:lang w:val="uk-UA"/>
        </w:rPr>
        <w:t>наявність та фактичне утримання в КП «Міський магазин» посади секретаря</w:t>
      </w:r>
      <w:r w:rsidRPr="00A32EA7">
        <w:rPr>
          <w:rFonts w:eastAsia="Calibri"/>
          <w:lang w:val="uk-UA" w:eastAsia="en-US"/>
        </w:rPr>
        <w:t>,</w:t>
      </w:r>
      <w:r w:rsidRPr="00A32EA7">
        <w:rPr>
          <w:lang w:val="uk-UA"/>
        </w:rPr>
        <w:t xml:space="preserve"> до посадових обов’язків якого входить організація діловодства, Підприємством у 2020 році зі сторонньою фізичною особою укладено договір цивільно-правового характеру на надання тотожних та дублюючих послуг (</w:t>
      </w:r>
      <w:r w:rsidRPr="00A32EA7">
        <w:rPr>
          <w:rFonts w:eastAsia="Calibri"/>
          <w:lang w:val="uk-UA" w:eastAsia="en-US"/>
        </w:rPr>
        <w:t>сортування паперової вхідної та вихідної кореспонденції)</w:t>
      </w:r>
      <w:r w:rsidRPr="00A32EA7">
        <w:rPr>
          <w:lang w:val="uk-UA"/>
        </w:rPr>
        <w:t xml:space="preserve">, в результаті чого неефективно </w:t>
      </w:r>
      <w:r w:rsidRPr="00A32EA7">
        <w:rPr>
          <w:i/>
          <w:lang w:val="uk-UA"/>
        </w:rPr>
        <w:t xml:space="preserve">використано </w:t>
      </w:r>
      <w:r w:rsidR="00CB431D">
        <w:rPr>
          <w:b/>
          <w:i/>
          <w:lang w:val="uk-UA"/>
        </w:rPr>
        <w:t>кошти у сумі 8,6 тис. гривень.</w:t>
      </w:r>
    </w:p>
    <w:p w:rsidR="00A32EA7" w:rsidRPr="00A32EA7" w:rsidRDefault="00A32EA7" w:rsidP="00A32EA7">
      <w:pPr>
        <w:ind w:firstLine="709"/>
        <w:jc w:val="both"/>
        <w:rPr>
          <w:b/>
          <w:i/>
          <w:lang w:val="uk-UA"/>
        </w:rPr>
      </w:pPr>
    </w:p>
    <w:p w:rsidR="00A32EA7" w:rsidRPr="00A32EA7" w:rsidRDefault="00CB431D" w:rsidP="00A32EA7">
      <w:pPr>
        <w:ind w:firstLine="708"/>
        <w:jc w:val="both"/>
        <w:rPr>
          <w:b/>
          <w:i/>
          <w:lang w:val="uk-UA"/>
        </w:rPr>
      </w:pPr>
      <w:r>
        <w:rPr>
          <w:rFonts w:eastAsia="Calibri"/>
          <w:b/>
          <w:i/>
          <w:bdr w:val="none" w:sz="0" w:space="0" w:color="auto" w:frame="1"/>
          <w:lang w:val="uk-UA"/>
        </w:rPr>
        <w:t>П</w:t>
      </w:r>
      <w:r w:rsidR="009B0944" w:rsidRPr="00F25ECC">
        <w:rPr>
          <w:rFonts w:eastAsia="Calibri"/>
          <w:b/>
          <w:i/>
          <w:bdr w:val="none" w:sz="0" w:space="0" w:color="auto" w:frame="1"/>
          <w:lang w:val="uk-UA"/>
        </w:rPr>
        <w:t>о-восьме</w:t>
      </w:r>
      <w:r w:rsidR="009B0944" w:rsidRPr="009B0944">
        <w:rPr>
          <w:rFonts w:eastAsia="Calibri"/>
          <w:b/>
          <w:bdr w:val="none" w:sz="0" w:space="0" w:color="auto" w:frame="1"/>
          <w:lang w:val="uk-UA"/>
        </w:rPr>
        <w:t>,</w:t>
      </w:r>
      <w:r w:rsidR="009B0944">
        <w:rPr>
          <w:rFonts w:eastAsia="Calibri"/>
          <w:bdr w:val="none" w:sz="0" w:space="0" w:color="auto" w:frame="1"/>
          <w:lang w:val="uk-UA"/>
        </w:rPr>
        <w:t xml:space="preserve"> в</w:t>
      </w:r>
      <w:r w:rsidR="00A32EA7" w:rsidRPr="00A32EA7">
        <w:rPr>
          <w:rFonts w:eastAsia="Calibri"/>
          <w:bdr w:val="none" w:sz="0" w:space="0" w:color="auto" w:frame="1"/>
          <w:lang w:val="uk-UA"/>
        </w:rPr>
        <w:t xml:space="preserve">олодіючи достатньою кількістю грошових активів (17,5 млн грн) для придбання автомобіля на конкурсних торгах, КП «Міський магазин» прийнято рішення для зазначених цілей скористатися послугами фінансового лізингу, закупівля яких на той час допускалася без проведення відповідних конкурентних процедур, внаслідок чого </w:t>
      </w:r>
      <w:r w:rsidR="009B0944">
        <w:rPr>
          <w:rFonts w:eastAsia="Calibri"/>
          <w:bdr w:val="none" w:sz="0" w:space="0" w:color="auto" w:frame="1"/>
          <w:lang w:val="uk-UA"/>
        </w:rPr>
        <w:br/>
      </w:r>
      <w:r w:rsidR="00A32EA7" w:rsidRPr="00A32EA7">
        <w:rPr>
          <w:rFonts w:eastAsia="Calibri"/>
          <w:bdr w:val="none" w:sz="0" w:space="0" w:color="auto" w:frame="1"/>
          <w:lang w:val="uk-UA"/>
        </w:rPr>
        <w:t xml:space="preserve">КП «Міський магазин» понесено додаткові та </w:t>
      </w:r>
      <w:r w:rsidR="00A32EA7" w:rsidRPr="00A32EA7">
        <w:rPr>
          <w:rFonts w:eastAsia="Calibri"/>
          <w:b/>
          <w:i/>
          <w:bdr w:val="none" w:sz="0" w:space="0" w:color="auto" w:frame="1"/>
          <w:lang w:val="uk-UA"/>
        </w:rPr>
        <w:t>неефективні витрати у вигляді лізингових вина</w:t>
      </w:r>
      <w:r w:rsidR="00F25ECC">
        <w:rPr>
          <w:rFonts w:eastAsia="Calibri"/>
          <w:b/>
          <w:i/>
          <w:bdr w:val="none" w:sz="0" w:space="0" w:color="auto" w:frame="1"/>
          <w:lang w:val="uk-UA"/>
        </w:rPr>
        <w:t xml:space="preserve">город у сумі </w:t>
      </w:r>
      <w:r w:rsidR="009E0E31">
        <w:rPr>
          <w:rFonts w:eastAsia="Calibri"/>
          <w:b/>
          <w:i/>
          <w:bdr w:val="none" w:sz="0" w:space="0" w:color="auto" w:frame="1"/>
          <w:lang w:val="uk-UA"/>
        </w:rPr>
        <w:t>118,9 тис. гривень.</w:t>
      </w:r>
    </w:p>
    <w:p w:rsidR="00A32EA7" w:rsidRPr="00A32EA7" w:rsidRDefault="00A32EA7" w:rsidP="00A32EA7">
      <w:pPr>
        <w:ind w:firstLine="709"/>
        <w:jc w:val="both"/>
        <w:rPr>
          <w:b/>
          <w:lang w:val="uk-UA"/>
        </w:rPr>
      </w:pPr>
      <w:r w:rsidRPr="00A32EA7">
        <w:rPr>
          <w:rFonts w:eastAsia="Calibri"/>
          <w:bdr w:val="none" w:sz="0" w:space="0" w:color="auto" w:frame="1"/>
          <w:lang w:val="uk-UA"/>
        </w:rPr>
        <w:t xml:space="preserve">Крім того, досліджуючи вартість предмета лізингу встановлено, що на ринку України продажна вартість автомобіля Тоуоta Сamry Comfort 2,5 А/Т в обраній комплектації становить 785,76 тис. грн, </w:t>
      </w:r>
      <w:r w:rsidRPr="00A32EA7">
        <w:rPr>
          <w:rFonts w:eastAsia="Calibri"/>
          <w:b/>
          <w:i/>
          <w:bdr w:val="none" w:sz="0" w:space="0" w:color="auto" w:frame="1"/>
          <w:lang w:val="uk-UA"/>
        </w:rPr>
        <w:t>що на 44,5 тис. грн (5,6%) менше за визначену для Підприємства умовами договору фінансового лізингу ціну</w:t>
      </w:r>
      <w:r w:rsidRPr="00A32EA7">
        <w:rPr>
          <w:rFonts w:eastAsia="Calibri"/>
          <w:i/>
          <w:bdr w:val="none" w:sz="0" w:space="0" w:color="auto" w:frame="1"/>
          <w:lang w:val="uk-UA"/>
        </w:rPr>
        <w:t>,</w:t>
      </w:r>
      <w:r w:rsidRPr="00A32EA7">
        <w:rPr>
          <w:rFonts w:eastAsia="Calibri"/>
          <w:bdr w:val="none" w:sz="0" w:space="0" w:color="auto" w:frame="1"/>
          <w:lang w:val="uk-UA"/>
        </w:rPr>
        <w:t xml:space="preserve"> що також свідчить про неефективність, необґрунтованість та недоцільність здійснення КП «Міський магазин» за</w:t>
      </w:r>
      <w:r w:rsidR="009E0E31">
        <w:rPr>
          <w:rFonts w:eastAsia="Calibri"/>
          <w:bdr w:val="none" w:sz="0" w:space="0" w:color="auto" w:frame="1"/>
          <w:lang w:val="uk-UA"/>
        </w:rPr>
        <w:t>значеної господарської операції.</w:t>
      </w:r>
    </w:p>
    <w:p w:rsidR="00A32EA7" w:rsidRPr="00A32EA7" w:rsidRDefault="00A32EA7" w:rsidP="00A32EA7">
      <w:pPr>
        <w:ind w:firstLine="709"/>
        <w:jc w:val="both"/>
        <w:rPr>
          <w:b/>
          <w:lang w:val="uk-UA"/>
        </w:rPr>
      </w:pPr>
      <w:r w:rsidRPr="00A32EA7">
        <w:rPr>
          <w:lang w:val="uk-UA"/>
        </w:rPr>
        <w:t xml:space="preserve">Також </w:t>
      </w:r>
      <w:r w:rsidRPr="00A32EA7">
        <w:rPr>
          <w:rFonts w:eastAsia="Calibri"/>
          <w:lang w:val="uk-UA" w:eastAsia="en-US"/>
        </w:rPr>
        <w:t>Підприємство не забезпечило усі наявні можливості щодо прибуткового використання придбаних у 2019 році 12 електромобілів, та, відповідно, ефек</w:t>
      </w:r>
      <w:r w:rsidR="009E0E31">
        <w:rPr>
          <w:rFonts w:eastAsia="Calibri"/>
          <w:lang w:val="uk-UA" w:eastAsia="en-US"/>
        </w:rPr>
        <w:t>тивність витрат на їх придбання.</w:t>
      </w:r>
    </w:p>
    <w:p w:rsidR="00F358D5" w:rsidRDefault="00F358D5" w:rsidP="00F358D5">
      <w:pPr>
        <w:spacing w:after="160"/>
        <w:ind w:firstLine="709"/>
        <w:jc w:val="both"/>
        <w:rPr>
          <w:lang w:val="uk-UA"/>
        </w:rPr>
      </w:pPr>
    </w:p>
    <w:p w:rsidR="00F25ECC" w:rsidRDefault="00F358D5" w:rsidP="00F25ECC">
      <w:pPr>
        <w:spacing w:line="240" w:lineRule="atLeast"/>
        <w:ind w:firstLine="709"/>
        <w:jc w:val="both"/>
        <w:rPr>
          <w:rFonts w:eastAsia="Calibri"/>
          <w:lang w:val="uk-UA" w:eastAsia="en-US"/>
        </w:rPr>
      </w:pPr>
      <w:r w:rsidRPr="00F358D5">
        <w:rPr>
          <w:rFonts w:eastAsia="Calibri"/>
          <w:lang w:val="uk-UA" w:eastAsia="en-US"/>
        </w:rPr>
        <w:t>Підсумовуючи вищевикладене та беручи до уваги значний вплив діяльності Підприємства на формування інфраструктури малого і середнього підприємництва в місті Києві, дотримання КП «Міський магазин» принципів правової визначеності, системності, відкритості та прозорості в досліджених сегментах господарювання потребує значного посилення та вдосконалення регламентних процесів і системи внутрішнього контролю.</w:t>
      </w:r>
    </w:p>
    <w:p w:rsidR="00BB3D45" w:rsidRPr="00CC4000" w:rsidRDefault="00BB3D45" w:rsidP="00CC4000">
      <w:pPr>
        <w:spacing w:line="240" w:lineRule="atLeast"/>
        <w:ind w:firstLine="709"/>
        <w:jc w:val="both"/>
        <w:rPr>
          <w:lang w:val="uk-UA"/>
        </w:rPr>
      </w:pPr>
      <w:r w:rsidRPr="00A53876">
        <w:rPr>
          <w:lang w:val="uk-UA"/>
        </w:rPr>
        <w:t xml:space="preserve">Загалом, за результатами аудиту, з метою удосконалення аспектів діяльності </w:t>
      </w:r>
      <w:r w:rsidR="00F358D5">
        <w:rPr>
          <w:rFonts w:eastAsia="Calibri"/>
          <w:lang w:val="uk-UA" w:eastAsia="en-US"/>
        </w:rPr>
        <w:t>КП «Міський магазин</w:t>
      </w:r>
      <w:r w:rsidRPr="00377B48">
        <w:rPr>
          <w:rFonts w:eastAsia="Calibri"/>
          <w:lang w:val="uk-UA" w:eastAsia="en-US"/>
        </w:rPr>
        <w:t>»</w:t>
      </w:r>
      <w:r w:rsidRPr="00A53876">
        <w:rPr>
          <w:lang w:val="uk-UA"/>
        </w:rPr>
        <w:t>, стосовно яких проводився внутрішній аудит</w:t>
      </w:r>
      <w:r w:rsidR="007A0F51">
        <w:rPr>
          <w:lang w:val="uk-UA"/>
        </w:rPr>
        <w:t>,</w:t>
      </w:r>
      <w:r w:rsidRPr="00A53876">
        <w:rPr>
          <w:lang w:val="uk-UA"/>
        </w:rPr>
        <w:t xml:space="preserve"> та усунення поруше</w:t>
      </w:r>
      <w:r w:rsidR="007A0F51">
        <w:rPr>
          <w:lang w:val="uk-UA"/>
        </w:rPr>
        <w:t>нь та недоліків, Департаментом</w:t>
      </w:r>
      <w:r w:rsidR="00F358D5">
        <w:rPr>
          <w:lang w:val="uk-UA"/>
        </w:rPr>
        <w:t xml:space="preserve"> надано 15</w:t>
      </w:r>
      <w:r w:rsidRPr="00A53876">
        <w:rPr>
          <w:lang w:val="uk-UA"/>
        </w:rPr>
        <w:t xml:space="preserve"> рекомендації, </w:t>
      </w:r>
      <w:r w:rsidR="00B744AC">
        <w:rPr>
          <w:lang w:val="uk-UA"/>
        </w:rPr>
        <w:t>з яких</w:t>
      </w:r>
      <w:r w:rsidR="00F358D5">
        <w:rPr>
          <w:lang w:val="uk-UA"/>
        </w:rPr>
        <w:t xml:space="preserve"> станом на 29.11.2021 вжитими Підприємством</w:t>
      </w:r>
      <w:r w:rsidR="00B744AC">
        <w:rPr>
          <w:lang w:val="uk-UA"/>
        </w:rPr>
        <w:t xml:space="preserve"> </w:t>
      </w:r>
      <w:r w:rsidR="00D76675">
        <w:rPr>
          <w:lang w:val="uk-UA"/>
        </w:rPr>
        <w:t>заходами впроваджено 1</w:t>
      </w:r>
      <w:r w:rsidR="00F358D5">
        <w:rPr>
          <w:lang w:val="uk-UA"/>
        </w:rPr>
        <w:t>4 рекомендацій та 1 рекомендацію</w:t>
      </w:r>
      <w:r w:rsidR="00D76675">
        <w:rPr>
          <w:lang w:val="uk-UA"/>
        </w:rPr>
        <w:t xml:space="preserve"> впроваджено </w:t>
      </w:r>
      <w:r w:rsidR="00F358D5">
        <w:rPr>
          <w:lang w:val="uk-UA"/>
        </w:rPr>
        <w:t>частково, яка</w:t>
      </w:r>
      <w:r w:rsidR="00D76675">
        <w:rPr>
          <w:lang w:val="uk-UA"/>
        </w:rPr>
        <w:t xml:space="preserve"> знаходяться </w:t>
      </w:r>
      <w:r w:rsidR="00F358D5">
        <w:rPr>
          <w:lang w:val="uk-UA"/>
        </w:rPr>
        <w:t>на</w:t>
      </w:r>
      <w:r w:rsidR="00EB5709">
        <w:rPr>
          <w:lang w:val="uk-UA"/>
        </w:rPr>
        <w:t xml:space="preserve"> стадії виконання</w:t>
      </w:r>
      <w:r w:rsidRPr="00A53876">
        <w:rPr>
          <w:lang w:val="uk-UA"/>
        </w:rPr>
        <w:t xml:space="preserve">. </w:t>
      </w:r>
    </w:p>
    <w:p w:rsidR="00CC4000" w:rsidRDefault="00A53876" w:rsidP="00CC4000">
      <w:pPr>
        <w:tabs>
          <w:tab w:val="left" w:pos="709"/>
          <w:tab w:val="left" w:pos="1134"/>
          <w:tab w:val="left" w:pos="4500"/>
        </w:tabs>
        <w:ind w:right="-58" w:firstLine="567"/>
        <w:jc w:val="both"/>
        <w:rPr>
          <w:lang w:val="uk-UA"/>
        </w:rPr>
      </w:pPr>
      <w:r w:rsidRPr="00A53876">
        <w:rPr>
          <w:lang w:val="uk-UA"/>
        </w:rPr>
        <w:t>З урахуванням викладеного, з метою повного усунення встановлених недоліків і проблем та недопущення їх у майбутньому пропонуємо надати доручення:</w:t>
      </w:r>
    </w:p>
    <w:p w:rsidR="00B52182" w:rsidRPr="00B52182" w:rsidRDefault="00F358D5" w:rsidP="00B52182">
      <w:pPr>
        <w:pStyle w:val="ac"/>
        <w:numPr>
          <w:ilvl w:val="0"/>
          <w:numId w:val="8"/>
        </w:numPr>
        <w:tabs>
          <w:tab w:val="left" w:pos="709"/>
          <w:tab w:val="left" w:pos="993"/>
        </w:tabs>
        <w:ind w:left="0" w:right="-58" w:firstLine="567"/>
        <w:jc w:val="both"/>
        <w:rPr>
          <w:lang w:val="uk-UA"/>
        </w:rPr>
      </w:pPr>
      <w:r>
        <w:rPr>
          <w:rFonts w:eastAsia="Calibri"/>
          <w:b/>
          <w:lang w:val="uk-UA" w:eastAsia="en-US"/>
        </w:rPr>
        <w:t>КП «Міський магазин»</w:t>
      </w:r>
      <w:r w:rsidR="00A53876" w:rsidRPr="00A53876">
        <w:rPr>
          <w:rFonts w:eastAsia="Calibri"/>
          <w:lang w:val="uk-UA" w:eastAsia="en-US"/>
        </w:rPr>
        <w:t xml:space="preserve"> </w:t>
      </w:r>
      <w:r w:rsidR="00A53876" w:rsidRPr="00A53876">
        <w:rPr>
          <w:lang w:val="uk-UA"/>
        </w:rPr>
        <w:t>забезпечити</w:t>
      </w:r>
      <w:r w:rsidR="00A53876" w:rsidRPr="00A53876">
        <w:rPr>
          <w:b/>
          <w:lang w:val="uk-UA"/>
        </w:rPr>
        <w:t xml:space="preserve"> </w:t>
      </w:r>
      <w:r w:rsidR="00EA3151">
        <w:rPr>
          <w:lang w:val="uk-UA"/>
        </w:rPr>
        <w:t xml:space="preserve">повне </w:t>
      </w:r>
      <w:r w:rsidR="004F2659" w:rsidRPr="004F2659">
        <w:rPr>
          <w:lang w:val="uk-UA"/>
        </w:rPr>
        <w:t>впровадження</w:t>
      </w:r>
      <w:r w:rsidR="00A53876" w:rsidRPr="004F2659">
        <w:rPr>
          <w:lang w:val="uk-UA"/>
        </w:rPr>
        <w:t xml:space="preserve"> р</w:t>
      </w:r>
      <w:r>
        <w:rPr>
          <w:lang w:val="uk-UA"/>
        </w:rPr>
        <w:t>екомендації, наданої</w:t>
      </w:r>
      <w:r w:rsidR="00A53876" w:rsidRPr="00A53876">
        <w:rPr>
          <w:lang w:val="uk-UA"/>
        </w:rPr>
        <w:t xml:space="preserve"> Департаментом</w:t>
      </w:r>
      <w:r w:rsidR="004F2659">
        <w:rPr>
          <w:lang w:val="uk-UA"/>
        </w:rPr>
        <w:t xml:space="preserve"> за результатами проведеного аудиту</w:t>
      </w:r>
      <w:r w:rsidR="00B52182">
        <w:rPr>
          <w:lang w:val="uk-UA"/>
        </w:rPr>
        <w:t>;</w:t>
      </w:r>
      <w:r w:rsidR="00A53876" w:rsidRPr="00A53876">
        <w:rPr>
          <w:lang w:val="uk-UA"/>
        </w:rPr>
        <w:t xml:space="preserve"> </w:t>
      </w:r>
      <w:r w:rsidR="00A53876" w:rsidRPr="00A53876">
        <w:rPr>
          <w:b/>
          <w:lang w:val="uk-UA"/>
        </w:rPr>
        <w:t xml:space="preserve"> </w:t>
      </w:r>
    </w:p>
    <w:p w:rsidR="00A53876" w:rsidRPr="00B52182" w:rsidRDefault="00B52182" w:rsidP="00B52182">
      <w:pPr>
        <w:pStyle w:val="ac"/>
        <w:numPr>
          <w:ilvl w:val="0"/>
          <w:numId w:val="8"/>
        </w:numPr>
        <w:tabs>
          <w:tab w:val="left" w:pos="709"/>
          <w:tab w:val="left" w:pos="993"/>
        </w:tabs>
        <w:ind w:left="0" w:right="-58" w:firstLine="567"/>
        <w:jc w:val="both"/>
        <w:rPr>
          <w:lang w:val="uk-UA"/>
        </w:rPr>
      </w:pPr>
      <w:r w:rsidRPr="00CC4000">
        <w:rPr>
          <w:b/>
          <w:lang w:val="uk-UA"/>
        </w:rPr>
        <w:t>Департамент</w:t>
      </w:r>
      <w:r>
        <w:rPr>
          <w:b/>
          <w:lang w:val="uk-UA"/>
        </w:rPr>
        <w:t>у</w:t>
      </w:r>
      <w:r w:rsidRPr="00CC4000">
        <w:rPr>
          <w:b/>
          <w:lang w:val="uk-UA"/>
        </w:rPr>
        <w:t xml:space="preserve"> промисловості та розвитку підприємництва</w:t>
      </w:r>
      <w:r>
        <w:rPr>
          <w:lang w:val="uk-UA"/>
        </w:rPr>
        <w:t xml:space="preserve"> забезпечити контроль за виконанням рекомендацій, наданих за результатами аудиту;</w:t>
      </w:r>
    </w:p>
    <w:p w:rsidR="00536598" w:rsidRDefault="00A53876" w:rsidP="00536598">
      <w:pPr>
        <w:numPr>
          <w:ilvl w:val="0"/>
          <w:numId w:val="3"/>
        </w:numPr>
        <w:tabs>
          <w:tab w:val="left" w:pos="993"/>
        </w:tabs>
        <w:ind w:left="0" w:firstLine="567"/>
        <w:contextualSpacing/>
        <w:jc w:val="both"/>
        <w:rPr>
          <w:lang w:val="uk-UA"/>
        </w:rPr>
      </w:pPr>
      <w:r w:rsidRPr="00EA3151">
        <w:rPr>
          <w:b/>
          <w:lang w:val="uk-UA"/>
        </w:rPr>
        <w:t>Департаменту фінансів</w:t>
      </w:r>
      <w:r w:rsidR="00536598" w:rsidRPr="00EA3151">
        <w:rPr>
          <w:b/>
          <w:lang w:val="uk-UA"/>
        </w:rPr>
        <w:t>,</w:t>
      </w:r>
      <w:r w:rsidRPr="00EA3151">
        <w:rPr>
          <w:b/>
          <w:lang w:val="uk-UA"/>
        </w:rPr>
        <w:t xml:space="preserve"> </w:t>
      </w:r>
      <w:r w:rsidR="00536598" w:rsidRPr="00EA3151">
        <w:rPr>
          <w:b/>
          <w:lang w:val="uk-UA"/>
        </w:rPr>
        <w:t>Департаменту комунальної власності м. Києва</w:t>
      </w:r>
      <w:r w:rsidR="00B52182">
        <w:rPr>
          <w:b/>
          <w:lang w:val="uk-UA"/>
        </w:rPr>
        <w:t>, Департаменту економіки та інвестицій</w:t>
      </w:r>
      <w:r w:rsidR="00536598" w:rsidRPr="00EA3151">
        <w:rPr>
          <w:b/>
          <w:lang w:val="uk-UA"/>
        </w:rPr>
        <w:t xml:space="preserve"> і</w:t>
      </w:r>
      <w:r w:rsidRPr="00EA3151">
        <w:rPr>
          <w:b/>
          <w:lang w:val="uk-UA"/>
        </w:rPr>
        <w:t xml:space="preserve"> Департаменту </w:t>
      </w:r>
      <w:r w:rsidR="00EA3151" w:rsidRPr="00EA3151">
        <w:rPr>
          <w:b/>
          <w:lang w:val="uk-UA"/>
        </w:rPr>
        <w:t xml:space="preserve">промисловості та розвитку підприємництва </w:t>
      </w:r>
      <w:r w:rsidRPr="00EA3151">
        <w:rPr>
          <w:lang w:val="uk-UA"/>
        </w:rPr>
        <w:t xml:space="preserve">ознайомитись з результатами аудиту </w:t>
      </w:r>
      <w:r w:rsidR="00536598" w:rsidRPr="00EA3151">
        <w:rPr>
          <w:lang w:val="uk-UA"/>
        </w:rPr>
        <w:t>та в р</w:t>
      </w:r>
      <w:r w:rsidR="003645E0" w:rsidRPr="00EA3151">
        <w:rPr>
          <w:lang w:val="uk-UA"/>
        </w:rPr>
        <w:t>азі необхідності, вжити належних</w:t>
      </w:r>
      <w:r w:rsidR="00536598" w:rsidRPr="00EA3151">
        <w:rPr>
          <w:lang w:val="uk-UA"/>
        </w:rPr>
        <w:t xml:space="preserve"> за</w:t>
      </w:r>
      <w:r w:rsidR="00B52182">
        <w:rPr>
          <w:lang w:val="uk-UA"/>
        </w:rPr>
        <w:t>ходів відповідно до компетенції;</w:t>
      </w:r>
    </w:p>
    <w:p w:rsidR="00B52182" w:rsidRPr="00EA3151" w:rsidRDefault="00B52182" w:rsidP="00536598">
      <w:pPr>
        <w:numPr>
          <w:ilvl w:val="0"/>
          <w:numId w:val="3"/>
        </w:numPr>
        <w:tabs>
          <w:tab w:val="left" w:pos="993"/>
        </w:tabs>
        <w:ind w:left="0" w:firstLine="567"/>
        <w:contextualSpacing/>
        <w:jc w:val="both"/>
        <w:rPr>
          <w:lang w:val="uk-UA"/>
        </w:rPr>
      </w:pPr>
      <w:r>
        <w:rPr>
          <w:b/>
          <w:lang w:val="uk-UA"/>
        </w:rPr>
        <w:t xml:space="preserve">Департаменту внутрішнього фінансового контролю та аудиту </w:t>
      </w:r>
      <w:r w:rsidRPr="00B52182">
        <w:rPr>
          <w:lang w:val="uk-UA"/>
        </w:rPr>
        <w:t>за результатами аудиту підготувати інформування правоохоронних органів.</w:t>
      </w:r>
    </w:p>
    <w:p w:rsidR="00A53876" w:rsidRPr="004051DC" w:rsidRDefault="00A53876" w:rsidP="00536598">
      <w:pPr>
        <w:tabs>
          <w:tab w:val="left" w:pos="993"/>
        </w:tabs>
        <w:ind w:firstLine="567"/>
        <w:contextualSpacing/>
        <w:jc w:val="both"/>
        <w:rPr>
          <w:lang w:val="uk-UA"/>
        </w:rPr>
      </w:pPr>
      <w:r w:rsidRPr="00A53876">
        <w:rPr>
          <w:lang w:val="uk-UA"/>
        </w:rPr>
        <w:t>Аудиторський звіт публікується на офіційному інтернет-порталі «Київаудит</w:t>
      </w:r>
      <w:r w:rsidR="00536598">
        <w:rPr>
          <w:lang w:val="uk-UA"/>
        </w:rPr>
        <w:t xml:space="preserve">» (kyivaudit.gov.ua) в розділі </w:t>
      </w:r>
      <w:r w:rsidRPr="00A53876">
        <w:rPr>
          <w:lang w:val="uk-UA"/>
        </w:rPr>
        <w:t>Внутрішній аудит</w:t>
      </w:r>
      <w:r w:rsidR="00536598">
        <w:rPr>
          <w:lang w:val="uk-UA"/>
        </w:rPr>
        <w:t xml:space="preserve"> підрозділ </w:t>
      </w:r>
      <w:r w:rsidRPr="00A53876">
        <w:rPr>
          <w:lang w:val="uk-UA"/>
        </w:rPr>
        <w:t xml:space="preserve">Внутрішні </w:t>
      </w:r>
      <w:r w:rsidR="00536598">
        <w:rPr>
          <w:lang w:val="uk-UA"/>
        </w:rPr>
        <w:t>аудити</w:t>
      </w:r>
      <w:r w:rsidRPr="004051DC">
        <w:rPr>
          <w:lang w:val="uk-UA"/>
        </w:rPr>
        <w:t>.</w:t>
      </w:r>
    </w:p>
    <w:p w:rsidR="00A53876" w:rsidRPr="004051DC" w:rsidRDefault="00A53876" w:rsidP="00A53876">
      <w:pPr>
        <w:tabs>
          <w:tab w:val="left" w:pos="0"/>
        </w:tabs>
        <w:jc w:val="both"/>
        <w:rPr>
          <w:lang w:val="uk-UA"/>
        </w:rPr>
      </w:pPr>
    </w:p>
    <w:p w:rsidR="00A53876" w:rsidRPr="004051DC" w:rsidRDefault="00A53876" w:rsidP="00A53876">
      <w:pPr>
        <w:tabs>
          <w:tab w:val="left" w:pos="0"/>
        </w:tabs>
        <w:jc w:val="both"/>
        <w:rPr>
          <w:lang w:val="uk-UA"/>
        </w:rPr>
      </w:pPr>
      <w:r w:rsidRPr="004051DC">
        <w:rPr>
          <w:lang w:val="uk-UA"/>
        </w:rPr>
        <w:t>З повагою</w:t>
      </w:r>
    </w:p>
    <w:p w:rsidR="00A53876" w:rsidRPr="004051DC" w:rsidRDefault="00A53876" w:rsidP="00A53876">
      <w:pPr>
        <w:tabs>
          <w:tab w:val="left" w:pos="0"/>
        </w:tabs>
        <w:ind w:firstLine="567"/>
        <w:jc w:val="both"/>
        <w:rPr>
          <w:lang w:val="uk-UA"/>
        </w:rPr>
      </w:pPr>
    </w:p>
    <w:p w:rsidR="00A53876" w:rsidRPr="00A53876" w:rsidRDefault="00A53876" w:rsidP="00A53876">
      <w:pPr>
        <w:ind w:right="56"/>
        <w:jc w:val="both"/>
        <w:rPr>
          <w:shd w:val="clear" w:color="auto" w:fill="FFFFFF"/>
          <w:lang w:val="uk-UA" w:eastAsia="en-US"/>
        </w:rPr>
      </w:pPr>
      <w:r w:rsidRPr="004051DC">
        <w:rPr>
          <w:shd w:val="clear" w:color="auto" w:fill="FFFFFF"/>
          <w:lang w:val="uk-UA" w:eastAsia="en-US"/>
        </w:rPr>
        <w:t>Директор</w:t>
      </w:r>
      <w:r w:rsidRPr="004051DC">
        <w:rPr>
          <w:shd w:val="clear" w:color="auto" w:fill="FFFFFF"/>
          <w:lang w:val="uk-UA" w:eastAsia="en-US"/>
        </w:rPr>
        <w:tab/>
      </w:r>
      <w:r w:rsidRPr="00A53876">
        <w:rPr>
          <w:shd w:val="clear" w:color="auto" w:fill="FFFFFF"/>
          <w:lang w:val="uk-UA" w:eastAsia="en-US"/>
        </w:rPr>
        <w:tab/>
        <w:t xml:space="preserve"> </w:t>
      </w:r>
      <w:r w:rsidRPr="00A53876">
        <w:rPr>
          <w:shd w:val="clear" w:color="auto" w:fill="FFFFFF"/>
          <w:lang w:val="uk-UA" w:eastAsia="en-US"/>
        </w:rPr>
        <w:tab/>
      </w:r>
      <w:r w:rsidRPr="00A53876">
        <w:rPr>
          <w:shd w:val="clear" w:color="auto" w:fill="FFFFFF"/>
          <w:lang w:val="uk-UA" w:eastAsia="en-US"/>
        </w:rPr>
        <w:tab/>
      </w:r>
      <w:r w:rsidRPr="00A53876">
        <w:rPr>
          <w:shd w:val="clear" w:color="auto" w:fill="FFFFFF"/>
          <w:lang w:val="uk-UA" w:eastAsia="en-US"/>
        </w:rPr>
        <w:tab/>
      </w:r>
      <w:r w:rsidRPr="00A53876">
        <w:rPr>
          <w:shd w:val="clear" w:color="auto" w:fill="FFFFFF"/>
          <w:lang w:val="uk-UA" w:eastAsia="en-US"/>
        </w:rPr>
        <w:tab/>
      </w:r>
      <w:r w:rsidRPr="00A53876">
        <w:rPr>
          <w:shd w:val="clear" w:color="auto" w:fill="FFFFFF"/>
          <w:lang w:val="uk-UA" w:eastAsia="en-US"/>
        </w:rPr>
        <w:tab/>
      </w:r>
      <w:r w:rsidRPr="00A53876">
        <w:rPr>
          <w:shd w:val="clear" w:color="auto" w:fill="FFFFFF"/>
          <w:lang w:val="uk-UA" w:eastAsia="en-US"/>
        </w:rPr>
        <w:tab/>
      </w:r>
      <w:r w:rsidRPr="00A53876">
        <w:rPr>
          <w:shd w:val="clear" w:color="auto" w:fill="FFFFFF"/>
          <w:lang w:val="uk-UA" w:eastAsia="en-US"/>
        </w:rPr>
        <w:tab/>
      </w:r>
      <w:r w:rsidRPr="00A53876">
        <w:rPr>
          <w:shd w:val="clear" w:color="auto" w:fill="FFFFFF"/>
          <w:lang w:eastAsia="en-US"/>
        </w:rPr>
        <w:t xml:space="preserve"> </w:t>
      </w:r>
      <w:r w:rsidRPr="00A53876">
        <w:rPr>
          <w:shd w:val="clear" w:color="auto" w:fill="FFFFFF"/>
          <w:lang w:val="uk-UA" w:eastAsia="en-US"/>
        </w:rPr>
        <w:t>Оксана КОЛТИК</w:t>
      </w:r>
    </w:p>
    <w:p w:rsidR="00A53876" w:rsidRDefault="00A53876" w:rsidP="00A53876">
      <w:pPr>
        <w:ind w:right="850" w:firstLine="567"/>
        <w:jc w:val="both"/>
        <w:rPr>
          <w:sz w:val="8"/>
          <w:szCs w:val="8"/>
          <w:shd w:val="clear" w:color="auto" w:fill="FFFFFF"/>
          <w:lang w:val="uk-UA" w:eastAsia="en-US"/>
        </w:rPr>
      </w:pPr>
    </w:p>
    <w:p w:rsidR="00EA3151" w:rsidRDefault="00EA3151" w:rsidP="00191372">
      <w:pPr>
        <w:tabs>
          <w:tab w:val="center" w:pos="4819"/>
          <w:tab w:val="right" w:pos="9639"/>
        </w:tabs>
        <w:rPr>
          <w:sz w:val="18"/>
          <w:lang w:val="uk-UA"/>
        </w:rPr>
      </w:pPr>
    </w:p>
    <w:p w:rsidR="00EA3151" w:rsidRDefault="00EA3151" w:rsidP="00191372">
      <w:pPr>
        <w:tabs>
          <w:tab w:val="center" w:pos="4819"/>
          <w:tab w:val="right" w:pos="9639"/>
        </w:tabs>
        <w:rPr>
          <w:sz w:val="18"/>
          <w:lang w:val="uk-UA"/>
        </w:rPr>
      </w:pPr>
    </w:p>
    <w:p w:rsidR="00EA3151" w:rsidRDefault="00EA3151" w:rsidP="00191372">
      <w:pPr>
        <w:tabs>
          <w:tab w:val="center" w:pos="4819"/>
          <w:tab w:val="right" w:pos="9639"/>
        </w:tabs>
        <w:rPr>
          <w:sz w:val="18"/>
          <w:lang w:val="uk-UA"/>
        </w:rPr>
      </w:pPr>
    </w:p>
    <w:p w:rsidR="00EA3151" w:rsidRDefault="00EA3151" w:rsidP="00191372">
      <w:pPr>
        <w:tabs>
          <w:tab w:val="center" w:pos="4819"/>
          <w:tab w:val="right" w:pos="9639"/>
        </w:tabs>
        <w:rPr>
          <w:sz w:val="18"/>
          <w:lang w:val="uk-UA"/>
        </w:rPr>
      </w:pPr>
    </w:p>
    <w:p w:rsidR="00EA3151" w:rsidRDefault="00EA3151" w:rsidP="00191372">
      <w:pPr>
        <w:tabs>
          <w:tab w:val="center" w:pos="4819"/>
          <w:tab w:val="right" w:pos="9639"/>
        </w:tabs>
        <w:rPr>
          <w:sz w:val="18"/>
          <w:lang w:val="uk-UA"/>
        </w:rPr>
      </w:pPr>
    </w:p>
    <w:p w:rsidR="00EA3151" w:rsidRDefault="00EA3151" w:rsidP="00191372">
      <w:pPr>
        <w:tabs>
          <w:tab w:val="center" w:pos="4819"/>
          <w:tab w:val="right" w:pos="9639"/>
        </w:tabs>
        <w:rPr>
          <w:sz w:val="18"/>
          <w:lang w:val="uk-UA"/>
        </w:rPr>
      </w:pPr>
    </w:p>
    <w:p w:rsidR="00EA3151" w:rsidRDefault="00EA3151" w:rsidP="00191372">
      <w:pPr>
        <w:tabs>
          <w:tab w:val="center" w:pos="4819"/>
          <w:tab w:val="right" w:pos="9639"/>
        </w:tabs>
        <w:rPr>
          <w:sz w:val="18"/>
          <w:lang w:val="uk-UA"/>
        </w:rPr>
      </w:pPr>
    </w:p>
    <w:p w:rsidR="00EA3151" w:rsidRDefault="00EA3151" w:rsidP="00191372">
      <w:pPr>
        <w:tabs>
          <w:tab w:val="center" w:pos="4819"/>
          <w:tab w:val="right" w:pos="9639"/>
        </w:tabs>
        <w:rPr>
          <w:sz w:val="18"/>
          <w:lang w:val="uk-UA"/>
        </w:rPr>
      </w:pPr>
    </w:p>
    <w:p w:rsidR="00191372" w:rsidRPr="00AF3327" w:rsidRDefault="00EA3151" w:rsidP="00191372">
      <w:pPr>
        <w:tabs>
          <w:tab w:val="center" w:pos="4819"/>
          <w:tab w:val="right" w:pos="9639"/>
        </w:tabs>
        <w:rPr>
          <w:sz w:val="18"/>
        </w:rPr>
      </w:pPr>
      <w:r>
        <w:rPr>
          <w:sz w:val="18"/>
          <w:lang w:val="uk-UA"/>
        </w:rPr>
        <w:t>Андрій ВИШНЕВСЬКИЙ</w:t>
      </w:r>
      <w:r w:rsidR="00A53876">
        <w:rPr>
          <w:sz w:val="18"/>
          <w:lang w:val="uk-UA"/>
        </w:rPr>
        <w:t xml:space="preserve"> </w:t>
      </w:r>
      <w:r w:rsidR="00191372" w:rsidRPr="00684077">
        <w:rPr>
          <w:sz w:val="18"/>
        </w:rPr>
        <w:t>239-86-67</w:t>
      </w:r>
    </w:p>
    <w:sectPr w:rsidR="00191372" w:rsidRPr="00AF3327" w:rsidSect="003D3312">
      <w:pgSz w:w="11906" w:h="16838"/>
      <w:pgMar w:top="816" w:right="566" w:bottom="284" w:left="1701" w:header="293"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19" w:rsidRDefault="00AE4F19" w:rsidP="00A72863">
      <w:r>
        <w:separator/>
      </w:r>
    </w:p>
  </w:endnote>
  <w:endnote w:type="continuationSeparator" w:id="0">
    <w:p w:rsidR="00AE4F19" w:rsidRDefault="00AE4F19" w:rsidP="00A7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19" w:rsidRDefault="00AE4F19" w:rsidP="00A72863">
      <w:r>
        <w:separator/>
      </w:r>
    </w:p>
  </w:footnote>
  <w:footnote w:type="continuationSeparator" w:id="0">
    <w:p w:rsidR="00AE4F19" w:rsidRDefault="00AE4F19" w:rsidP="00A7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C83"/>
    <w:multiLevelType w:val="hybridMultilevel"/>
    <w:tmpl w:val="F3EC6E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A36EBE"/>
    <w:multiLevelType w:val="hybridMultilevel"/>
    <w:tmpl w:val="ECF280B0"/>
    <w:lvl w:ilvl="0" w:tplc="79984CFC">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2">
    <w:nsid w:val="395243A2"/>
    <w:multiLevelType w:val="hybridMultilevel"/>
    <w:tmpl w:val="DB7EEEB6"/>
    <w:lvl w:ilvl="0" w:tplc="0422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912F40"/>
    <w:multiLevelType w:val="hybridMultilevel"/>
    <w:tmpl w:val="744AAAFE"/>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4D2D6E49"/>
    <w:multiLevelType w:val="hybridMultilevel"/>
    <w:tmpl w:val="803E70D8"/>
    <w:lvl w:ilvl="0" w:tplc="A1B41074">
      <w:start w:val="2"/>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51045074"/>
    <w:multiLevelType w:val="hybridMultilevel"/>
    <w:tmpl w:val="83FE2A0A"/>
    <w:lvl w:ilvl="0" w:tplc="C500190C">
      <w:numFmt w:val="bullet"/>
      <w:lvlText w:val="-"/>
      <w:lvlJc w:val="left"/>
      <w:pPr>
        <w:ind w:left="1287" w:hanging="360"/>
      </w:pPr>
      <w:rPr>
        <w:rFonts w:ascii="Times New Roman" w:eastAsia="Times New Roman" w:hAnsi="Times New Roman" w:cs="Times New Roman" w:hint="default"/>
        <w:i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672071E7"/>
    <w:multiLevelType w:val="hybridMultilevel"/>
    <w:tmpl w:val="DD8268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6BF721F2"/>
    <w:multiLevelType w:val="hybridMultilevel"/>
    <w:tmpl w:val="E09445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13"/>
    <w:rsid w:val="0000699C"/>
    <w:rsid w:val="00023D3B"/>
    <w:rsid w:val="00037B5A"/>
    <w:rsid w:val="000433AD"/>
    <w:rsid w:val="000C57B5"/>
    <w:rsid w:val="000E5488"/>
    <w:rsid w:val="0011193D"/>
    <w:rsid w:val="00130D47"/>
    <w:rsid w:val="00152FF5"/>
    <w:rsid w:val="0015325C"/>
    <w:rsid w:val="001902D2"/>
    <w:rsid w:val="00191372"/>
    <w:rsid w:val="001A63A1"/>
    <w:rsid w:val="001F2951"/>
    <w:rsid w:val="00204864"/>
    <w:rsid w:val="00276F82"/>
    <w:rsid w:val="002813C1"/>
    <w:rsid w:val="002E281E"/>
    <w:rsid w:val="0031365E"/>
    <w:rsid w:val="003231F3"/>
    <w:rsid w:val="00337DC4"/>
    <w:rsid w:val="003645E0"/>
    <w:rsid w:val="00377B48"/>
    <w:rsid w:val="003B3C36"/>
    <w:rsid w:val="003D3312"/>
    <w:rsid w:val="003F7969"/>
    <w:rsid w:val="004051DC"/>
    <w:rsid w:val="00410F77"/>
    <w:rsid w:val="004546A5"/>
    <w:rsid w:val="004668D9"/>
    <w:rsid w:val="004817B7"/>
    <w:rsid w:val="00491BAF"/>
    <w:rsid w:val="004F2659"/>
    <w:rsid w:val="00536598"/>
    <w:rsid w:val="005C0639"/>
    <w:rsid w:val="00600867"/>
    <w:rsid w:val="006272A4"/>
    <w:rsid w:val="00635224"/>
    <w:rsid w:val="00662BEA"/>
    <w:rsid w:val="00675398"/>
    <w:rsid w:val="00683BCE"/>
    <w:rsid w:val="00696801"/>
    <w:rsid w:val="006B44F9"/>
    <w:rsid w:val="006D17B0"/>
    <w:rsid w:val="006D6DB7"/>
    <w:rsid w:val="00715F52"/>
    <w:rsid w:val="00746451"/>
    <w:rsid w:val="00754D3D"/>
    <w:rsid w:val="00761127"/>
    <w:rsid w:val="00772FE1"/>
    <w:rsid w:val="007A0F51"/>
    <w:rsid w:val="007C64FB"/>
    <w:rsid w:val="0084483B"/>
    <w:rsid w:val="00855B2D"/>
    <w:rsid w:val="008A5D66"/>
    <w:rsid w:val="008C216A"/>
    <w:rsid w:val="008C5125"/>
    <w:rsid w:val="008E18CD"/>
    <w:rsid w:val="009240EA"/>
    <w:rsid w:val="00924BA8"/>
    <w:rsid w:val="00944E49"/>
    <w:rsid w:val="00970A3F"/>
    <w:rsid w:val="009B0944"/>
    <w:rsid w:val="009C2AE9"/>
    <w:rsid w:val="009E0E31"/>
    <w:rsid w:val="00A05B49"/>
    <w:rsid w:val="00A15FDE"/>
    <w:rsid w:val="00A32EA7"/>
    <w:rsid w:val="00A3360A"/>
    <w:rsid w:val="00A53876"/>
    <w:rsid w:val="00A72863"/>
    <w:rsid w:val="00AE0D69"/>
    <w:rsid w:val="00AE4F19"/>
    <w:rsid w:val="00AF47C7"/>
    <w:rsid w:val="00B2294E"/>
    <w:rsid w:val="00B30451"/>
    <w:rsid w:val="00B52182"/>
    <w:rsid w:val="00B744AC"/>
    <w:rsid w:val="00B74BD5"/>
    <w:rsid w:val="00B82CC4"/>
    <w:rsid w:val="00B91315"/>
    <w:rsid w:val="00B96B7B"/>
    <w:rsid w:val="00BB3D45"/>
    <w:rsid w:val="00BE672F"/>
    <w:rsid w:val="00C26D80"/>
    <w:rsid w:val="00CB431D"/>
    <w:rsid w:val="00CB7A13"/>
    <w:rsid w:val="00CC4000"/>
    <w:rsid w:val="00D6747D"/>
    <w:rsid w:val="00D76675"/>
    <w:rsid w:val="00D8640A"/>
    <w:rsid w:val="00D86C0B"/>
    <w:rsid w:val="00D9698E"/>
    <w:rsid w:val="00DC2A59"/>
    <w:rsid w:val="00DD2C78"/>
    <w:rsid w:val="00E10665"/>
    <w:rsid w:val="00E44BA8"/>
    <w:rsid w:val="00EA3151"/>
    <w:rsid w:val="00EB5709"/>
    <w:rsid w:val="00ED548B"/>
    <w:rsid w:val="00EE0A36"/>
    <w:rsid w:val="00F25ECC"/>
    <w:rsid w:val="00F272DC"/>
    <w:rsid w:val="00F358D5"/>
    <w:rsid w:val="00F60D43"/>
    <w:rsid w:val="00FC3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D8640A"/>
    <w:pPr>
      <w:keepNext/>
      <w:widowControl w:val="0"/>
      <w:jc w:val="both"/>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6A5"/>
    <w:pPr>
      <w:tabs>
        <w:tab w:val="center" w:pos="4153"/>
        <w:tab w:val="right" w:pos="8306"/>
      </w:tabs>
      <w:autoSpaceDE w:val="0"/>
      <w:autoSpaceDN w:val="0"/>
    </w:pPr>
    <w:rPr>
      <w:sz w:val="20"/>
      <w:szCs w:val="20"/>
      <w:lang w:val="uk-UA"/>
    </w:rPr>
  </w:style>
  <w:style w:type="character" w:customStyle="1" w:styleId="a4">
    <w:name w:val="Верхний колонтитул Знак"/>
    <w:basedOn w:val="a0"/>
    <w:link w:val="a3"/>
    <w:uiPriority w:val="99"/>
    <w:rsid w:val="004546A5"/>
    <w:rPr>
      <w:rFonts w:ascii="Times New Roman" w:eastAsia="Times New Roman" w:hAnsi="Times New Roman" w:cs="Times New Roman"/>
      <w:sz w:val="20"/>
      <w:szCs w:val="20"/>
      <w:lang w:val="uk-UA" w:eastAsia="ru-RU"/>
    </w:rPr>
  </w:style>
  <w:style w:type="character" w:customStyle="1" w:styleId="70">
    <w:name w:val="Заголовок 7 Знак"/>
    <w:basedOn w:val="a0"/>
    <w:link w:val="7"/>
    <w:rsid w:val="00D8640A"/>
    <w:rPr>
      <w:rFonts w:ascii="Times New Roman" w:eastAsia="Times New Roman" w:hAnsi="Times New Roman" w:cs="Times New Roman"/>
      <w:sz w:val="28"/>
      <w:szCs w:val="20"/>
      <w:lang w:val="uk-UA" w:eastAsia="ru-RU"/>
    </w:rPr>
  </w:style>
  <w:style w:type="character" w:styleId="a5">
    <w:name w:val="Hyperlink"/>
    <w:uiPriority w:val="99"/>
    <w:unhideWhenUsed/>
    <w:rsid w:val="006D6DB7"/>
    <w:rPr>
      <w:color w:val="0000FF"/>
      <w:u w:val="single"/>
    </w:rPr>
  </w:style>
  <w:style w:type="character" w:customStyle="1" w:styleId="10">
    <w:name w:val="Заголовок 1 Знак"/>
    <w:basedOn w:val="a0"/>
    <w:link w:val="1"/>
    <w:uiPriority w:val="9"/>
    <w:rsid w:val="0015325C"/>
    <w:rPr>
      <w:rFonts w:asciiTheme="majorHAnsi" w:eastAsiaTheme="majorEastAsia" w:hAnsiTheme="majorHAnsi" w:cstheme="majorBidi"/>
      <w:b/>
      <w:bCs/>
      <w:color w:val="365F91" w:themeColor="accent1" w:themeShade="BF"/>
      <w:sz w:val="28"/>
      <w:szCs w:val="28"/>
      <w:lang w:eastAsia="ru-RU"/>
    </w:rPr>
  </w:style>
  <w:style w:type="paragraph" w:customStyle="1" w:styleId="a6">
    <w:name w:val="Заголовок"/>
    <w:basedOn w:val="a"/>
    <w:next w:val="a"/>
    <w:link w:val="a7"/>
    <w:qFormat/>
    <w:rsid w:val="001A63A1"/>
    <w:pPr>
      <w:jc w:val="center"/>
    </w:pPr>
    <w:rPr>
      <w:spacing w:val="20"/>
      <w:sz w:val="28"/>
      <w:szCs w:val="28"/>
      <w:lang w:val="uk-UA"/>
    </w:rPr>
  </w:style>
  <w:style w:type="character" w:customStyle="1" w:styleId="a7">
    <w:name w:val="Заголовок Знак"/>
    <w:link w:val="a6"/>
    <w:rsid w:val="001A63A1"/>
    <w:rPr>
      <w:rFonts w:ascii="Times New Roman" w:eastAsia="Times New Roman" w:hAnsi="Times New Roman" w:cs="Times New Roman"/>
      <w:spacing w:val="20"/>
      <w:sz w:val="28"/>
      <w:szCs w:val="28"/>
      <w:lang w:val="uk-UA" w:eastAsia="ru-RU"/>
    </w:rPr>
  </w:style>
  <w:style w:type="paragraph" w:styleId="a8">
    <w:name w:val="footer"/>
    <w:basedOn w:val="a"/>
    <w:link w:val="a9"/>
    <w:uiPriority w:val="99"/>
    <w:unhideWhenUsed/>
    <w:rsid w:val="00A72863"/>
    <w:pPr>
      <w:tabs>
        <w:tab w:val="center" w:pos="4819"/>
        <w:tab w:val="right" w:pos="9639"/>
      </w:tabs>
    </w:pPr>
  </w:style>
  <w:style w:type="character" w:customStyle="1" w:styleId="a9">
    <w:name w:val="Нижний колонтитул Знак"/>
    <w:basedOn w:val="a0"/>
    <w:link w:val="a8"/>
    <w:uiPriority w:val="99"/>
    <w:rsid w:val="00A728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91372"/>
    <w:rPr>
      <w:rFonts w:ascii="Segoe UI" w:hAnsi="Segoe UI" w:cs="Segoe UI"/>
      <w:sz w:val="18"/>
      <w:szCs w:val="18"/>
    </w:rPr>
  </w:style>
  <w:style w:type="character" w:customStyle="1" w:styleId="ab">
    <w:name w:val="Текст выноски Знак"/>
    <w:basedOn w:val="a0"/>
    <w:link w:val="aa"/>
    <w:uiPriority w:val="99"/>
    <w:semiHidden/>
    <w:rsid w:val="00191372"/>
    <w:rPr>
      <w:rFonts w:ascii="Segoe UI" w:eastAsia="Times New Roman" w:hAnsi="Segoe UI" w:cs="Segoe UI"/>
      <w:sz w:val="18"/>
      <w:szCs w:val="18"/>
      <w:lang w:eastAsia="ru-RU"/>
    </w:rPr>
  </w:style>
  <w:style w:type="paragraph" w:styleId="ac">
    <w:name w:val="List Paragraph"/>
    <w:basedOn w:val="a"/>
    <w:uiPriority w:val="34"/>
    <w:qFormat/>
    <w:rsid w:val="00204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3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D8640A"/>
    <w:pPr>
      <w:keepNext/>
      <w:widowControl w:val="0"/>
      <w:jc w:val="both"/>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6A5"/>
    <w:pPr>
      <w:tabs>
        <w:tab w:val="center" w:pos="4153"/>
        <w:tab w:val="right" w:pos="8306"/>
      </w:tabs>
      <w:autoSpaceDE w:val="0"/>
      <w:autoSpaceDN w:val="0"/>
    </w:pPr>
    <w:rPr>
      <w:sz w:val="20"/>
      <w:szCs w:val="20"/>
      <w:lang w:val="uk-UA"/>
    </w:rPr>
  </w:style>
  <w:style w:type="character" w:customStyle="1" w:styleId="a4">
    <w:name w:val="Верхний колонтитул Знак"/>
    <w:basedOn w:val="a0"/>
    <w:link w:val="a3"/>
    <w:uiPriority w:val="99"/>
    <w:rsid w:val="004546A5"/>
    <w:rPr>
      <w:rFonts w:ascii="Times New Roman" w:eastAsia="Times New Roman" w:hAnsi="Times New Roman" w:cs="Times New Roman"/>
      <w:sz w:val="20"/>
      <w:szCs w:val="20"/>
      <w:lang w:val="uk-UA" w:eastAsia="ru-RU"/>
    </w:rPr>
  </w:style>
  <w:style w:type="character" w:customStyle="1" w:styleId="70">
    <w:name w:val="Заголовок 7 Знак"/>
    <w:basedOn w:val="a0"/>
    <w:link w:val="7"/>
    <w:rsid w:val="00D8640A"/>
    <w:rPr>
      <w:rFonts w:ascii="Times New Roman" w:eastAsia="Times New Roman" w:hAnsi="Times New Roman" w:cs="Times New Roman"/>
      <w:sz w:val="28"/>
      <w:szCs w:val="20"/>
      <w:lang w:val="uk-UA" w:eastAsia="ru-RU"/>
    </w:rPr>
  </w:style>
  <w:style w:type="character" w:styleId="a5">
    <w:name w:val="Hyperlink"/>
    <w:uiPriority w:val="99"/>
    <w:unhideWhenUsed/>
    <w:rsid w:val="006D6DB7"/>
    <w:rPr>
      <w:color w:val="0000FF"/>
      <w:u w:val="single"/>
    </w:rPr>
  </w:style>
  <w:style w:type="character" w:customStyle="1" w:styleId="10">
    <w:name w:val="Заголовок 1 Знак"/>
    <w:basedOn w:val="a0"/>
    <w:link w:val="1"/>
    <w:uiPriority w:val="9"/>
    <w:rsid w:val="0015325C"/>
    <w:rPr>
      <w:rFonts w:asciiTheme="majorHAnsi" w:eastAsiaTheme="majorEastAsia" w:hAnsiTheme="majorHAnsi" w:cstheme="majorBidi"/>
      <w:b/>
      <w:bCs/>
      <w:color w:val="365F91" w:themeColor="accent1" w:themeShade="BF"/>
      <w:sz w:val="28"/>
      <w:szCs w:val="28"/>
      <w:lang w:eastAsia="ru-RU"/>
    </w:rPr>
  </w:style>
  <w:style w:type="paragraph" w:customStyle="1" w:styleId="a6">
    <w:name w:val="Заголовок"/>
    <w:basedOn w:val="a"/>
    <w:next w:val="a"/>
    <w:link w:val="a7"/>
    <w:qFormat/>
    <w:rsid w:val="001A63A1"/>
    <w:pPr>
      <w:jc w:val="center"/>
    </w:pPr>
    <w:rPr>
      <w:spacing w:val="20"/>
      <w:sz w:val="28"/>
      <w:szCs w:val="28"/>
      <w:lang w:val="uk-UA"/>
    </w:rPr>
  </w:style>
  <w:style w:type="character" w:customStyle="1" w:styleId="a7">
    <w:name w:val="Заголовок Знак"/>
    <w:link w:val="a6"/>
    <w:rsid w:val="001A63A1"/>
    <w:rPr>
      <w:rFonts w:ascii="Times New Roman" w:eastAsia="Times New Roman" w:hAnsi="Times New Roman" w:cs="Times New Roman"/>
      <w:spacing w:val="20"/>
      <w:sz w:val="28"/>
      <w:szCs w:val="28"/>
      <w:lang w:val="uk-UA" w:eastAsia="ru-RU"/>
    </w:rPr>
  </w:style>
  <w:style w:type="paragraph" w:styleId="a8">
    <w:name w:val="footer"/>
    <w:basedOn w:val="a"/>
    <w:link w:val="a9"/>
    <w:uiPriority w:val="99"/>
    <w:unhideWhenUsed/>
    <w:rsid w:val="00A72863"/>
    <w:pPr>
      <w:tabs>
        <w:tab w:val="center" w:pos="4819"/>
        <w:tab w:val="right" w:pos="9639"/>
      </w:tabs>
    </w:pPr>
  </w:style>
  <w:style w:type="character" w:customStyle="1" w:styleId="a9">
    <w:name w:val="Нижний колонтитул Знак"/>
    <w:basedOn w:val="a0"/>
    <w:link w:val="a8"/>
    <w:uiPriority w:val="99"/>
    <w:rsid w:val="00A728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91372"/>
    <w:rPr>
      <w:rFonts w:ascii="Segoe UI" w:hAnsi="Segoe UI" w:cs="Segoe UI"/>
      <w:sz w:val="18"/>
      <w:szCs w:val="18"/>
    </w:rPr>
  </w:style>
  <w:style w:type="character" w:customStyle="1" w:styleId="ab">
    <w:name w:val="Текст выноски Знак"/>
    <w:basedOn w:val="a0"/>
    <w:link w:val="aa"/>
    <w:uiPriority w:val="99"/>
    <w:semiHidden/>
    <w:rsid w:val="00191372"/>
    <w:rPr>
      <w:rFonts w:ascii="Segoe UI" w:eastAsia="Times New Roman" w:hAnsi="Segoe UI" w:cs="Segoe UI"/>
      <w:sz w:val="18"/>
      <w:szCs w:val="18"/>
      <w:lang w:eastAsia="ru-RU"/>
    </w:rPr>
  </w:style>
  <w:style w:type="paragraph" w:styleId="ac">
    <w:name w:val="List Paragraph"/>
    <w:basedOn w:val="a"/>
    <w:uiPriority w:val="34"/>
    <w:qFormat/>
    <w:rsid w:val="0020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D984-54A5-4F32-8B60-6AEDBC0C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2088</Words>
  <Characters>11904</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Вишневський Андрій Валерійович</cp:lastModifiedBy>
  <cp:revision>5</cp:revision>
  <cp:lastPrinted>2021-11-29T11:44:00Z</cp:lastPrinted>
  <dcterms:created xsi:type="dcterms:W3CDTF">2021-11-26T13:53:00Z</dcterms:created>
  <dcterms:modified xsi:type="dcterms:W3CDTF">2021-11-29T11:53:00Z</dcterms:modified>
</cp:coreProperties>
</file>